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A3D472" w14:textId="77777777" w:rsidR="00A37D09" w:rsidRPr="000A0E54" w:rsidRDefault="00A37D09" w:rsidP="00A37D09">
      <w:pPr>
        <w:rPr>
          <w:b/>
        </w:rPr>
      </w:pPr>
    </w:p>
    <w:p w14:paraId="4919E385" w14:textId="77777777" w:rsidR="00A37D09" w:rsidRPr="000A0E54" w:rsidRDefault="00A26F41" w:rsidP="00A37D09">
      <w:pPr>
        <w:pStyle w:val="AOHead3"/>
        <w:numPr>
          <w:ilvl w:val="0"/>
          <w:numId w:val="0"/>
        </w:numPr>
        <w:jc w:val="center"/>
        <w:rPr>
          <w:b/>
        </w:rPr>
      </w:pPr>
      <w:r w:rsidRPr="000A0E54">
        <w:rPr>
          <w:b/>
          <w:bCs/>
        </w:rPr>
        <w:t>EU Bank Recovery and Resolution Directive Stay</w:t>
      </w:r>
      <w:r>
        <w:rPr>
          <w:b/>
          <w:bCs/>
        </w:rPr>
        <w:t xml:space="preserve"> Side Letter</w:t>
      </w:r>
    </w:p>
    <w:p w14:paraId="38B10C78" w14:textId="04C0C277" w:rsidR="00923BAD" w:rsidRDefault="00923BAD" w:rsidP="000A0E54">
      <w:pPr>
        <w:pStyle w:val="AOHead3"/>
        <w:numPr>
          <w:ilvl w:val="0"/>
          <w:numId w:val="0"/>
        </w:numPr>
        <w:rPr>
          <w:b/>
        </w:rPr>
      </w:pPr>
      <w:r>
        <w:t>[Address</w:t>
      </w:r>
      <w:r w:rsidR="00FD6816">
        <w:t xml:space="preserve"> Colombian Entity</w:t>
      </w:r>
      <w:r>
        <w:t>]</w:t>
      </w:r>
      <w:r w:rsidRPr="00923BAD">
        <w:rPr>
          <w:b/>
        </w:rPr>
        <w:t xml:space="preserve"> </w:t>
      </w:r>
    </w:p>
    <w:p w14:paraId="3087AADF" w14:textId="5C81233A" w:rsidR="00634C23" w:rsidRPr="000A0E54" w:rsidRDefault="00923BAD" w:rsidP="000A0E54">
      <w:pPr>
        <w:pStyle w:val="AOHead3"/>
        <w:numPr>
          <w:ilvl w:val="0"/>
          <w:numId w:val="0"/>
        </w:numPr>
      </w:pPr>
      <w:r w:rsidRPr="00923BAD">
        <w:rPr>
          <w:b/>
        </w:rPr>
        <w:t>[</w:t>
      </w:r>
      <w:r>
        <w:rPr>
          <w:b/>
        </w:rPr>
        <w:t xml:space="preserve"> </w:t>
      </w:r>
      <w:r w:rsidRPr="00923BAD">
        <w:rPr>
          <w:b/>
        </w:rPr>
        <w:t>]</w:t>
      </w:r>
      <w:r w:rsidRPr="000A0E54">
        <w:t xml:space="preserve"> </w:t>
      </w:r>
      <w:r>
        <w:t xml:space="preserve"> </w:t>
      </w:r>
      <w:r w:rsidR="00634C23" w:rsidRPr="000A0E54">
        <w:t>(“</w:t>
      </w:r>
      <w:r w:rsidR="00365CDF" w:rsidRPr="000A0E54">
        <w:rPr>
          <w:b/>
        </w:rPr>
        <w:t>Counterparty</w:t>
      </w:r>
      <w:r w:rsidR="00634C23" w:rsidRPr="000A0E54">
        <w:t>”)</w:t>
      </w:r>
      <w:r w:rsidR="000A0E54" w:rsidRPr="000A0E54">
        <w:t xml:space="preserve"> </w:t>
      </w:r>
      <w:r w:rsidR="00365CDF" w:rsidRPr="000A0E54">
        <w:t>acknowledges and accepts that</w:t>
      </w:r>
      <w:r w:rsidR="00634C23" w:rsidRPr="000A0E54">
        <w:t>:</w:t>
      </w:r>
    </w:p>
    <w:p w14:paraId="5FB2F94A" w14:textId="39BC325E" w:rsidR="00365CDF" w:rsidRPr="000A0E54" w:rsidRDefault="00923BAD" w:rsidP="00634C23">
      <w:pPr>
        <w:pStyle w:val="AOHead3"/>
        <w:numPr>
          <w:ilvl w:val="0"/>
          <w:numId w:val="3"/>
        </w:numPr>
      </w:pPr>
      <w:r w:rsidRPr="00923BAD">
        <w:t xml:space="preserve"> </w:t>
      </w:r>
      <w:r>
        <w:t xml:space="preserve">[ ] </w:t>
      </w:r>
      <w:r w:rsidR="00365CDF" w:rsidRPr="000A0E54">
        <w:t>is authorized by the Prudential Regulation Authority (“</w:t>
      </w:r>
      <w:r w:rsidR="00365CDF" w:rsidRPr="000A0E54">
        <w:rPr>
          <w:b/>
          <w:bCs/>
        </w:rPr>
        <w:t>PRA</w:t>
      </w:r>
      <w:r w:rsidR="00365CDF" w:rsidRPr="000A0E54">
        <w:t xml:space="preserve">”) and regulated by the Financial Conduct Authority and the PRA, and is subject to the Bank of England’s resolution authority powers, </w:t>
      </w:r>
      <w:r w:rsidR="00FD6816">
        <w:t>[</w:t>
      </w:r>
      <w:r w:rsidR="00365CDF" w:rsidRPr="000A0E54">
        <w:t>as contained in the EU Bank Recovery and Resolution Directive, and transposed in the UK by the Banking Act 2009</w:t>
      </w:r>
      <w:r w:rsidR="00FD6816">
        <w:t>]</w:t>
      </w:r>
      <w:r w:rsidR="00410E79">
        <w:rPr>
          <w:rStyle w:val="Refdenotaalpie"/>
        </w:rPr>
        <w:footnoteReference w:id="2"/>
      </w:r>
      <w:r w:rsidR="00365CDF" w:rsidRPr="000A0E54">
        <w:t>. The powers include the power to suspend the termination and security enforcement rights of parties in the context o</w:t>
      </w:r>
      <w:r w:rsidR="00486230" w:rsidRPr="000A0E54">
        <w:t xml:space="preserve">f resolution action being taken; </w:t>
      </w:r>
    </w:p>
    <w:p w14:paraId="70126DC6" w14:textId="3CBCFC56" w:rsidR="00391E7F" w:rsidRDefault="00634C23" w:rsidP="00166C53">
      <w:pPr>
        <w:pStyle w:val="AOHead3"/>
        <w:numPr>
          <w:ilvl w:val="0"/>
          <w:numId w:val="3"/>
        </w:numPr>
      </w:pPr>
      <w:r w:rsidRPr="000A0E54">
        <w:t xml:space="preserve">The </w:t>
      </w:r>
      <w:r w:rsidR="00B53D66">
        <w:t xml:space="preserve">ISDA Master </w:t>
      </w:r>
      <w:r w:rsidR="00365CDF" w:rsidRPr="000A0E54">
        <w:t xml:space="preserve">Agreement </w:t>
      </w:r>
      <w:r w:rsidR="00B53D66">
        <w:t xml:space="preserve">between </w:t>
      </w:r>
      <w:r w:rsidR="00923BAD">
        <w:t xml:space="preserve">[ ] </w:t>
      </w:r>
      <w:r w:rsidR="00B53D66">
        <w:t xml:space="preserve">and Counterparty </w:t>
      </w:r>
      <w:r w:rsidR="00365CDF" w:rsidRPr="000A0E54">
        <w:t xml:space="preserve">is a third-country law financial arrangement for the purposes of the </w:t>
      </w:r>
      <w:r w:rsidR="00410E79">
        <w:t>[</w:t>
      </w:r>
      <w:r w:rsidR="00365CDF" w:rsidRPr="000A0E54">
        <w:t>PRA Rulebook: CRR Firms and Non-Authorised Persons: Stay in Resolution Instrument 2015 and</w:t>
      </w:r>
      <w:r w:rsidR="00410E79">
        <w:t>]</w:t>
      </w:r>
      <w:r w:rsidR="00410E79">
        <w:rPr>
          <w:rStyle w:val="Refdenotaalpie"/>
        </w:rPr>
        <w:footnoteReference w:id="3"/>
      </w:r>
      <w:r w:rsidR="00365CDF" w:rsidRPr="000A0E54">
        <w:t xml:space="preserve">, accordingly, </w:t>
      </w:r>
      <w:r w:rsidRPr="000A0E54">
        <w:t xml:space="preserve">Counterparty </w:t>
      </w:r>
      <w:r w:rsidR="00365CDF" w:rsidRPr="000A0E54">
        <w:t xml:space="preserve">agrees that it will be entitled to exercise termination rights under, or rights to enforce a security interest in connection with, this Agreement to the extent that it would be entitled to do so under the UK Special Resolution Regime if the Agreement were governed </w:t>
      </w:r>
      <w:bookmarkStart w:id="0" w:name="_GoBack"/>
      <w:bookmarkEnd w:id="0"/>
      <w:r w:rsidR="00365CDF" w:rsidRPr="000A0E54">
        <w:t>by English law</w:t>
      </w:r>
      <w:r w:rsidR="00391E7F">
        <w:t>; and</w:t>
      </w:r>
    </w:p>
    <w:p w14:paraId="0E0A3E04" w14:textId="77777777" w:rsidR="00391E7F" w:rsidRPr="00391E7F" w:rsidRDefault="00391E7F" w:rsidP="00FB7410"/>
    <w:p w14:paraId="39F9E74F" w14:textId="77777777" w:rsidR="00365CDF" w:rsidRPr="000A0E54" w:rsidRDefault="00391E7F" w:rsidP="00144FF0">
      <w:pPr>
        <w:pStyle w:val="Prrafodelista"/>
        <w:numPr>
          <w:ilvl w:val="0"/>
          <w:numId w:val="3"/>
        </w:numPr>
      </w:pPr>
      <w:r w:rsidRPr="00391E7F">
        <w:t>This letter agreement shall be interpreted in accordance with th</w:t>
      </w:r>
      <w:r w:rsidR="00144FF0">
        <w:t>e UK Special Resolution Regime.</w:t>
      </w:r>
    </w:p>
    <w:p w14:paraId="432BA2F5" w14:textId="77777777" w:rsidR="00365CDF" w:rsidRPr="000A0E54" w:rsidRDefault="00634C23" w:rsidP="00634C23">
      <w:pPr>
        <w:pStyle w:val="AOHead3"/>
        <w:numPr>
          <w:ilvl w:val="0"/>
          <w:numId w:val="0"/>
        </w:numPr>
      </w:pPr>
      <w:r w:rsidRPr="000A0E54">
        <w:t>In this letter a</w:t>
      </w:r>
      <w:r w:rsidR="00365CDF" w:rsidRPr="000A0E54">
        <w:t>greement:</w:t>
      </w:r>
    </w:p>
    <w:p w14:paraId="7C176200" w14:textId="77777777" w:rsidR="00144FF0" w:rsidRDefault="00144FF0" w:rsidP="00634C23">
      <w:pPr>
        <w:ind w:left="742"/>
        <w:jc w:val="both"/>
        <w:rPr>
          <w:b/>
          <w:bCs/>
          <w:iCs/>
        </w:rPr>
      </w:pPr>
    </w:p>
    <w:p w14:paraId="28178167" w14:textId="3149CAFE" w:rsidR="00365CDF" w:rsidRPr="000A0E54" w:rsidRDefault="00365CDF" w:rsidP="00634C23">
      <w:pPr>
        <w:ind w:left="742"/>
        <w:jc w:val="both"/>
      </w:pPr>
      <w:r w:rsidRPr="000A0E54">
        <w:rPr>
          <w:b/>
          <w:bCs/>
          <w:iCs/>
        </w:rPr>
        <w:t>BRRD</w:t>
      </w:r>
      <w:r w:rsidR="009B7EB0">
        <w:rPr>
          <w:rStyle w:val="Refdenotaalpie"/>
          <w:b/>
          <w:bCs/>
          <w:iCs/>
        </w:rPr>
        <w:footnoteReference w:id="4"/>
      </w:r>
      <w:r w:rsidRPr="000A0E54">
        <w:rPr>
          <w:b/>
          <w:bCs/>
        </w:rPr>
        <w:t xml:space="preserve"> </w:t>
      </w:r>
      <w:r w:rsidRPr="000A0E54">
        <w:t>means Directive 2014/59/EU establishing a framework for the recovery and resolution of credit institutions and investment firms.</w:t>
      </w:r>
    </w:p>
    <w:p w14:paraId="28CC195F" w14:textId="77777777" w:rsidR="00634C23" w:rsidRPr="000A0E54" w:rsidRDefault="00634C23" w:rsidP="00634C23">
      <w:pPr>
        <w:ind w:left="742"/>
        <w:jc w:val="both"/>
        <w:rPr>
          <w:b/>
          <w:bCs/>
          <w:iCs/>
        </w:rPr>
      </w:pPr>
    </w:p>
    <w:p w14:paraId="38F619E5" w14:textId="77777777" w:rsidR="00365CDF" w:rsidRPr="000A0E54" w:rsidRDefault="00365CDF" w:rsidP="00634C23">
      <w:pPr>
        <w:ind w:left="742"/>
        <w:jc w:val="both"/>
      </w:pPr>
      <w:r w:rsidRPr="000A0E54">
        <w:rPr>
          <w:b/>
          <w:bCs/>
          <w:iCs/>
        </w:rPr>
        <w:lastRenderedPageBreak/>
        <w:t>UK Resolution Authority</w:t>
      </w:r>
      <w:r w:rsidRPr="000A0E54">
        <w:t xml:space="preserve"> means the Bank of England or any other relevant resolution authority from time to time.</w:t>
      </w:r>
    </w:p>
    <w:p w14:paraId="544C2B80" w14:textId="77777777" w:rsidR="00365CDF" w:rsidRPr="000A0E54" w:rsidRDefault="00365CDF" w:rsidP="00634C23">
      <w:pPr>
        <w:ind w:left="742"/>
        <w:jc w:val="both"/>
      </w:pPr>
    </w:p>
    <w:p w14:paraId="092DA804" w14:textId="77777777" w:rsidR="00365CDF" w:rsidRPr="000A0E54" w:rsidRDefault="00365CDF" w:rsidP="00634C23">
      <w:pPr>
        <w:pStyle w:val="AODocTxt"/>
        <w:numPr>
          <w:ilvl w:val="0"/>
          <w:numId w:val="2"/>
        </w:numPr>
        <w:spacing w:before="0" w:line="240" w:lineRule="auto"/>
        <w:ind w:left="742"/>
      </w:pPr>
      <w:r w:rsidRPr="000A0E54">
        <w:rPr>
          <w:b/>
          <w:bCs/>
          <w:iCs/>
        </w:rPr>
        <w:t>UK Special Resolution Regime</w:t>
      </w:r>
      <w:r w:rsidRPr="000A0E54">
        <w:rPr>
          <w:b/>
          <w:bCs/>
        </w:rPr>
        <w:t xml:space="preserve"> </w:t>
      </w:r>
      <w:r w:rsidRPr="000A0E54">
        <w:t>means the provisions of Part 1 of the Banking Act 2009 and any measure taken under that part.</w:t>
      </w:r>
    </w:p>
    <w:p w14:paraId="3793651D" w14:textId="77777777" w:rsidR="00634C23" w:rsidRDefault="00634C23" w:rsidP="00634C23"/>
    <w:p w14:paraId="2C9AE433" w14:textId="77777777" w:rsidR="00144FF0" w:rsidRDefault="00144FF0" w:rsidP="00634C23"/>
    <w:p w14:paraId="4D314A20" w14:textId="77777777" w:rsidR="00144FF0" w:rsidRDefault="00144FF0" w:rsidP="00634C23"/>
    <w:p w14:paraId="76F5800B" w14:textId="77777777" w:rsidR="00634C23" w:rsidRPr="000A0E54" w:rsidRDefault="00634C23" w:rsidP="00634C23">
      <w:r w:rsidRPr="000A0E54">
        <w:t>Sincerely,</w:t>
      </w:r>
    </w:p>
    <w:p w14:paraId="433E1EB5" w14:textId="77777777" w:rsidR="00634C23" w:rsidRPr="000A0E54" w:rsidRDefault="00634C23" w:rsidP="00634C23"/>
    <w:p w14:paraId="2CB439E5" w14:textId="41FF8B13" w:rsidR="00923BAD" w:rsidRPr="00923BAD" w:rsidRDefault="00923BAD" w:rsidP="00634C23">
      <w:pPr>
        <w:rPr>
          <w:b/>
        </w:rPr>
      </w:pPr>
      <w:r w:rsidRPr="00923BAD">
        <w:rPr>
          <w:b/>
        </w:rPr>
        <w:t>[</w:t>
      </w:r>
      <w:r>
        <w:rPr>
          <w:b/>
        </w:rPr>
        <w:t xml:space="preserve"> </w:t>
      </w:r>
      <w:r w:rsidRPr="00923BAD">
        <w:rPr>
          <w:b/>
        </w:rPr>
        <w:t>]</w:t>
      </w:r>
    </w:p>
    <w:p w14:paraId="7E92ED7D" w14:textId="77777777" w:rsidR="00923BAD" w:rsidRDefault="00923BAD" w:rsidP="00634C23"/>
    <w:p w14:paraId="38BBE836" w14:textId="0C5045D0" w:rsidR="00634C23" w:rsidRPr="000A0E54" w:rsidRDefault="00634C23" w:rsidP="00634C23">
      <w:r w:rsidRPr="000A0E54">
        <w:t>By: ______________</w:t>
      </w:r>
      <w:r w:rsidR="00FB7410">
        <w:t>_________________</w:t>
      </w:r>
      <w:r w:rsidRPr="000A0E54">
        <w:t>_</w:t>
      </w:r>
      <w:r w:rsidRPr="000A0E54">
        <w:tab/>
      </w:r>
      <w:r w:rsidRPr="000A0E54">
        <w:tab/>
      </w:r>
      <w:r w:rsidRPr="000A0E54">
        <w:tab/>
      </w:r>
      <w:r w:rsidRPr="000A0E54">
        <w:tab/>
      </w:r>
    </w:p>
    <w:p w14:paraId="1BC832B7" w14:textId="61ABBB6A" w:rsidR="00634C23" w:rsidRPr="000A0E54" w:rsidRDefault="00634C23" w:rsidP="00634C23">
      <w:r w:rsidRPr="000A0E54">
        <w:t>Name:</w:t>
      </w:r>
      <w:r w:rsidR="00923BAD">
        <w:t xml:space="preserve"> [ ]</w:t>
      </w:r>
    </w:p>
    <w:p w14:paraId="6A4E5AD0" w14:textId="10C98A8D" w:rsidR="00634C23" w:rsidRPr="000A0E54" w:rsidRDefault="00634C23" w:rsidP="00634C23">
      <w:r w:rsidRPr="000A0E54">
        <w:t>Title:</w:t>
      </w:r>
      <w:r w:rsidR="00923BAD">
        <w:t xml:space="preserve"> [ ]</w:t>
      </w:r>
    </w:p>
    <w:p w14:paraId="5AFED093" w14:textId="77777777" w:rsidR="00634C23" w:rsidRPr="000A0E54" w:rsidRDefault="00634C23" w:rsidP="00634C23"/>
    <w:p w14:paraId="7C9490A2" w14:textId="77777777" w:rsidR="00634C23" w:rsidRPr="000A0E54" w:rsidRDefault="00634C23" w:rsidP="00634C23">
      <w:pPr>
        <w:rPr>
          <w:b/>
        </w:rPr>
      </w:pPr>
      <w:r w:rsidRPr="000A0E54">
        <w:rPr>
          <w:b/>
        </w:rPr>
        <w:t>ACKNOWLEDGED:</w:t>
      </w:r>
    </w:p>
    <w:p w14:paraId="6A7D9301" w14:textId="77777777" w:rsidR="00634C23" w:rsidRPr="000A0E54" w:rsidRDefault="00634C23" w:rsidP="00634C23"/>
    <w:p w14:paraId="619006A4" w14:textId="560C3E3A" w:rsidR="00486230" w:rsidRPr="00923BAD" w:rsidRDefault="00923BAD" w:rsidP="00634C23">
      <w:pPr>
        <w:rPr>
          <w:b/>
        </w:rPr>
      </w:pPr>
      <w:r w:rsidRPr="00923BAD">
        <w:rPr>
          <w:b/>
        </w:rPr>
        <w:t>[</w:t>
      </w:r>
      <w:r>
        <w:rPr>
          <w:b/>
        </w:rPr>
        <w:t xml:space="preserve"> </w:t>
      </w:r>
      <w:r w:rsidRPr="00923BAD">
        <w:rPr>
          <w:b/>
        </w:rPr>
        <w:t>]</w:t>
      </w:r>
    </w:p>
    <w:p w14:paraId="6CEA1C4A" w14:textId="77777777" w:rsidR="00923BAD" w:rsidRPr="000A0E54" w:rsidRDefault="00923BAD" w:rsidP="00634C23">
      <w:pPr>
        <w:rPr>
          <w:lang w:val="en-US"/>
        </w:rPr>
      </w:pPr>
    </w:p>
    <w:p w14:paraId="6D5B9DD0" w14:textId="77777777" w:rsidR="00634C23" w:rsidRPr="000A0E54" w:rsidRDefault="00634C23" w:rsidP="00634C23">
      <w:r w:rsidRPr="000A0E54">
        <w:t>By: _______________</w:t>
      </w:r>
      <w:r w:rsidR="00FB7410">
        <w:t>________________</w:t>
      </w:r>
      <w:r w:rsidRPr="000A0E54">
        <w:t>_</w:t>
      </w:r>
    </w:p>
    <w:p w14:paraId="6EC22567" w14:textId="3A87F796" w:rsidR="00634C23" w:rsidRDefault="00634C23" w:rsidP="00634C23">
      <w:r w:rsidRPr="000A0E54">
        <w:t>Name:</w:t>
      </w:r>
      <w:r w:rsidR="00D1109A">
        <w:t xml:space="preserve"> </w:t>
      </w:r>
      <w:r w:rsidR="00923BAD">
        <w:t>[ ]</w:t>
      </w:r>
    </w:p>
    <w:p w14:paraId="2921CF8A" w14:textId="630C16F9" w:rsidR="00144FF0" w:rsidRPr="000A0E54" w:rsidRDefault="00144FF0" w:rsidP="00634C23">
      <w:r>
        <w:t xml:space="preserve">Title: </w:t>
      </w:r>
      <w:r w:rsidR="00923BAD">
        <w:t>[ ]</w:t>
      </w:r>
    </w:p>
    <w:sectPr w:rsidR="00144FF0" w:rsidRPr="000A0E54" w:rsidSect="00144FF0">
      <w:headerReference w:type="default" r:id="rId8"/>
      <w:footerReference w:type="default" r:id="rId9"/>
      <w:pgSz w:w="11906" w:h="16838"/>
      <w:pgMar w:top="1987" w:right="1699" w:bottom="1699" w:left="1699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7DA49C" w14:textId="77777777" w:rsidR="00273DBF" w:rsidRDefault="00273DBF" w:rsidP="000A0E54">
      <w:r>
        <w:separator/>
      </w:r>
    </w:p>
  </w:endnote>
  <w:endnote w:type="continuationSeparator" w:id="0">
    <w:p w14:paraId="70D22D88" w14:textId="77777777" w:rsidR="00273DBF" w:rsidRDefault="00273DBF" w:rsidP="000A0E54">
      <w:r>
        <w:continuationSeparator/>
      </w:r>
    </w:p>
  </w:endnote>
  <w:endnote w:type="continuationNotice" w:id="1">
    <w:p w14:paraId="78F7A363" w14:textId="77777777" w:rsidR="00273DBF" w:rsidRDefault="00273D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8242535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B733B8" w14:textId="725BB53B" w:rsidR="00144FF0" w:rsidRPr="00144FF0" w:rsidRDefault="00144FF0">
        <w:pPr>
          <w:pStyle w:val="Piedepgina"/>
          <w:jc w:val="center"/>
          <w:rPr>
            <w:sz w:val="20"/>
            <w:szCs w:val="20"/>
          </w:rPr>
        </w:pPr>
        <w:r w:rsidRPr="00144FF0">
          <w:rPr>
            <w:sz w:val="20"/>
            <w:szCs w:val="20"/>
          </w:rPr>
          <w:t>Page 0</w:t>
        </w:r>
        <w:r w:rsidRPr="00144FF0">
          <w:rPr>
            <w:sz w:val="20"/>
            <w:szCs w:val="20"/>
          </w:rPr>
          <w:fldChar w:fldCharType="begin"/>
        </w:r>
        <w:r w:rsidRPr="00144FF0">
          <w:rPr>
            <w:sz w:val="20"/>
            <w:szCs w:val="20"/>
          </w:rPr>
          <w:instrText xml:space="preserve"> PAGE   \* MERGEFORMAT </w:instrText>
        </w:r>
        <w:r w:rsidRPr="00144FF0">
          <w:rPr>
            <w:sz w:val="20"/>
            <w:szCs w:val="20"/>
          </w:rPr>
          <w:fldChar w:fldCharType="separate"/>
        </w:r>
        <w:r w:rsidR="004D189C">
          <w:rPr>
            <w:noProof/>
            <w:sz w:val="20"/>
            <w:szCs w:val="20"/>
          </w:rPr>
          <w:t>2</w:t>
        </w:r>
        <w:r w:rsidRPr="00144FF0">
          <w:rPr>
            <w:noProof/>
            <w:sz w:val="20"/>
            <w:szCs w:val="20"/>
          </w:rPr>
          <w:fldChar w:fldCharType="end"/>
        </w:r>
        <w:r w:rsidRPr="00144FF0">
          <w:rPr>
            <w:noProof/>
            <w:sz w:val="20"/>
            <w:szCs w:val="20"/>
          </w:rPr>
          <w:t xml:space="preserve"> of 0</w:t>
        </w:r>
        <w:r w:rsidR="00A37D09">
          <w:rPr>
            <w:noProof/>
            <w:sz w:val="20"/>
            <w:szCs w:val="20"/>
          </w:rPr>
          <w:t>2</w:t>
        </w:r>
      </w:p>
    </w:sdtContent>
  </w:sdt>
  <w:p w14:paraId="2547E021" w14:textId="77777777" w:rsidR="00144FF0" w:rsidRDefault="00144FF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B5D5C" w14:textId="77777777" w:rsidR="00273DBF" w:rsidRDefault="00273DBF" w:rsidP="000A0E54">
      <w:r>
        <w:separator/>
      </w:r>
    </w:p>
  </w:footnote>
  <w:footnote w:type="continuationSeparator" w:id="0">
    <w:p w14:paraId="1C39074A" w14:textId="77777777" w:rsidR="00273DBF" w:rsidRDefault="00273DBF" w:rsidP="000A0E54">
      <w:r>
        <w:continuationSeparator/>
      </w:r>
    </w:p>
  </w:footnote>
  <w:footnote w:type="continuationNotice" w:id="1">
    <w:p w14:paraId="53EEB153" w14:textId="77777777" w:rsidR="00273DBF" w:rsidRDefault="00273DBF"/>
  </w:footnote>
  <w:footnote w:id="2">
    <w:p w14:paraId="32BFA0DE" w14:textId="77777777" w:rsidR="00410E79" w:rsidRDefault="00410E79">
      <w:pPr>
        <w:pStyle w:val="Textonotapie"/>
        <w:rPr>
          <w:lang w:val="es-CO"/>
        </w:rPr>
      </w:pPr>
      <w:r>
        <w:rPr>
          <w:rStyle w:val="Refdenotaalpie"/>
        </w:rPr>
        <w:footnoteRef/>
      </w:r>
      <w:r w:rsidRPr="00410E79">
        <w:rPr>
          <w:lang w:val="es-CO"/>
        </w:rPr>
        <w:t xml:space="preserve"> El lenguaje a continuación también puede ser utilizado para reemplazar el texto en corchetes: </w:t>
      </w:r>
    </w:p>
    <w:p w14:paraId="1D107C69" w14:textId="0809FA0B" w:rsidR="00410E79" w:rsidRPr="009B7EB0" w:rsidRDefault="00410E79">
      <w:pPr>
        <w:pStyle w:val="Textonotapie"/>
        <w:rPr>
          <w:lang w:val="en-US"/>
        </w:rPr>
      </w:pPr>
      <w:r w:rsidRPr="009B7EB0">
        <w:rPr>
          <w:lang w:val="en-US"/>
        </w:rPr>
        <w:t xml:space="preserve">“(…) </w:t>
      </w:r>
      <w:r w:rsidRPr="009B7EB0">
        <w:rPr>
          <w:lang w:val="en-US"/>
        </w:rPr>
        <w:t>as contained in Banking Act 2009</w:t>
      </w:r>
      <w:r w:rsidRPr="009B7EB0">
        <w:rPr>
          <w:lang w:val="en-US"/>
        </w:rPr>
        <w:t>.”</w:t>
      </w:r>
    </w:p>
  </w:footnote>
  <w:footnote w:id="3">
    <w:p w14:paraId="292444DC" w14:textId="358EFF4D" w:rsidR="00410E79" w:rsidRPr="00410E79" w:rsidRDefault="00410E79">
      <w:pPr>
        <w:pStyle w:val="Textonotapie"/>
        <w:rPr>
          <w:lang w:val="es-CO"/>
        </w:rPr>
      </w:pPr>
      <w:r>
        <w:rPr>
          <w:rStyle w:val="Refdenotaalpie"/>
        </w:rPr>
        <w:footnoteRef/>
      </w:r>
      <w:r w:rsidRPr="00410E79">
        <w:rPr>
          <w:lang w:val="es-CO"/>
        </w:rPr>
        <w:t xml:space="preserve"> El lenguaje a continuación también puede ser utilizado</w:t>
      </w:r>
      <w:r>
        <w:rPr>
          <w:lang w:val="es-CO"/>
        </w:rPr>
        <w:t xml:space="preserve"> para reemplazar el texto en corchetes</w:t>
      </w:r>
      <w:r w:rsidRPr="00410E79">
        <w:rPr>
          <w:lang w:val="es-CO"/>
        </w:rPr>
        <w:t xml:space="preserve">: </w:t>
      </w:r>
    </w:p>
    <w:p w14:paraId="3929348D" w14:textId="1EFD55A9" w:rsidR="00410E79" w:rsidRPr="00410E79" w:rsidRDefault="00410E79">
      <w:pPr>
        <w:pStyle w:val="Textonotapie"/>
        <w:rPr>
          <w:lang w:val="en-US"/>
        </w:rPr>
      </w:pPr>
      <w:r w:rsidRPr="00410E79">
        <w:rPr>
          <w:lang w:val="es-CO"/>
        </w:rPr>
        <w:t xml:space="preserve">“ (…) </w:t>
      </w:r>
      <w:r w:rsidRPr="00410E79">
        <w:rPr>
          <w:lang w:val="es-CO"/>
        </w:rPr>
        <w:t>“Stay in Resolution” par</w:t>
      </w:r>
      <w:r w:rsidRPr="00410E79">
        <w:t xml:space="preserve">t of the PRA rulebook </w:t>
      </w:r>
      <w:r>
        <w:t>and</w:t>
      </w:r>
      <w:r w:rsidRPr="00410E79">
        <w:t xml:space="preserve"> </w:t>
      </w:r>
      <w:r w:rsidRPr="00410E79">
        <w:rPr>
          <w:rStyle w:val="Refdecomentario"/>
          <w:sz w:val="20"/>
          <w:szCs w:val="20"/>
        </w:rPr>
        <w:annotationRef/>
      </w:r>
      <w:r>
        <w:t>(</w:t>
      </w:r>
      <w:r w:rsidRPr="00410E79">
        <w:rPr>
          <w:rStyle w:val="Refdecomentario"/>
          <w:sz w:val="20"/>
          <w:szCs w:val="20"/>
        </w:rPr>
        <w:annotationRef/>
      </w:r>
      <w:r w:rsidRPr="00410E79">
        <w:t>…</w:t>
      </w:r>
      <w:r>
        <w:t>)</w:t>
      </w:r>
      <w:r w:rsidRPr="00410E79">
        <w:t xml:space="preserve"> ”</w:t>
      </w:r>
      <w:r>
        <w:t xml:space="preserve">. </w:t>
      </w:r>
    </w:p>
  </w:footnote>
  <w:footnote w:id="4">
    <w:p w14:paraId="76FD4BA9" w14:textId="054A55D9" w:rsidR="009B7EB0" w:rsidRPr="009B7EB0" w:rsidRDefault="009B7EB0">
      <w:pPr>
        <w:pStyle w:val="Textonotapie"/>
        <w:rPr>
          <w:lang w:val="es-CO"/>
        </w:rPr>
      </w:pPr>
      <w:r>
        <w:rPr>
          <w:rStyle w:val="Refdenotaalpie"/>
        </w:rPr>
        <w:footnoteRef/>
      </w:r>
      <w:r w:rsidRPr="009B7EB0">
        <w:rPr>
          <w:lang w:val="es-CO"/>
        </w:rPr>
        <w:t xml:space="preserve"> </w:t>
      </w:r>
      <w:r>
        <w:rPr>
          <w:lang w:val="es-CO"/>
        </w:rPr>
        <w:t xml:space="preserve">En caso que se adopte el lenguaje propuesto alternativo contenido de la nota al pie 1, </w:t>
      </w:r>
      <w:r w:rsidR="00843429">
        <w:rPr>
          <w:lang w:val="es-CO"/>
        </w:rPr>
        <w:t>no es necesario incluir esta definición.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FD870" w14:textId="77777777" w:rsidR="00273DBF" w:rsidRDefault="00273DB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B5382"/>
    <w:multiLevelType w:val="hybridMultilevel"/>
    <w:tmpl w:val="ECB8FDF8"/>
    <w:lvl w:ilvl="0" w:tplc="DC8A45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EA0C51E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6770C4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81122EC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26C0C3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150949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F308255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7B0E648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18442D9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" w15:restartNumberingAfterBreak="0">
    <w:nsid w:val="387403D9"/>
    <w:multiLevelType w:val="hybridMultilevel"/>
    <w:tmpl w:val="B8842CE4"/>
    <w:lvl w:ilvl="0" w:tplc="837E0032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475B3203"/>
    <w:multiLevelType w:val="multilevel"/>
    <w:tmpl w:val="D15EADD4"/>
    <w:name w:val="AODo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720" w:firstLine="0"/>
      </w:pPr>
    </w:lvl>
    <w:lvl w:ilvl="2">
      <w:start w:val="1"/>
      <w:numFmt w:val="none"/>
      <w:suff w:val="nothing"/>
      <w:lvlText w:val=""/>
      <w:lvlJc w:val="left"/>
      <w:pPr>
        <w:ind w:left="1440" w:firstLine="0"/>
      </w:pPr>
    </w:lvl>
    <w:lvl w:ilvl="3">
      <w:start w:val="1"/>
      <w:numFmt w:val="none"/>
      <w:suff w:val="nothing"/>
      <w:lvlText w:val=""/>
      <w:lvlJc w:val="left"/>
      <w:pPr>
        <w:ind w:left="2160" w:firstLine="0"/>
      </w:pPr>
    </w:lvl>
    <w:lvl w:ilvl="4">
      <w:start w:val="1"/>
      <w:numFmt w:val="none"/>
      <w:suff w:val="nothing"/>
      <w:lvlText w:val=""/>
      <w:lvlJc w:val="left"/>
      <w:pPr>
        <w:ind w:left="2880" w:firstLine="0"/>
      </w:pPr>
    </w:lvl>
    <w:lvl w:ilvl="5">
      <w:start w:val="1"/>
      <w:numFmt w:val="none"/>
      <w:suff w:val="nothing"/>
      <w:lvlText w:val=""/>
      <w:lvlJc w:val="left"/>
      <w:pPr>
        <w:ind w:left="3600" w:firstLine="0"/>
      </w:pPr>
    </w:lvl>
    <w:lvl w:ilvl="6">
      <w:start w:val="1"/>
      <w:numFmt w:val="none"/>
      <w:suff w:val="nothing"/>
      <w:lvlText w:val=""/>
      <w:lvlJc w:val="left"/>
      <w:pPr>
        <w:ind w:left="4320" w:firstLine="0"/>
      </w:pPr>
    </w:lvl>
    <w:lvl w:ilvl="7">
      <w:start w:val="1"/>
      <w:numFmt w:val="none"/>
      <w:suff w:val="nothing"/>
      <w:lvlText w:val=""/>
      <w:lvlJc w:val="left"/>
      <w:pPr>
        <w:ind w:left="5040" w:firstLine="0"/>
      </w:pPr>
    </w:lvl>
    <w:lvl w:ilvl="8">
      <w:start w:val="1"/>
      <w:numFmt w:val="none"/>
      <w:suff w:val="nothing"/>
      <w:lvlText w:val=""/>
      <w:lvlJc w:val="left"/>
      <w:pPr>
        <w:ind w:left="5760" w:firstLine="0"/>
      </w:pPr>
    </w:lvl>
  </w:abstractNum>
  <w:abstractNum w:abstractNumId="3" w15:restartNumberingAfterBreak="0">
    <w:nsid w:val="4E4B4E3E"/>
    <w:multiLevelType w:val="multilevel"/>
    <w:tmpl w:val="FDC65C5C"/>
    <w:name w:val="AOHeadX"/>
    <w:lvl w:ilvl="0">
      <w:start w:val="1"/>
      <w:numFmt w:val="decimal"/>
      <w:lvlRestart w:val="0"/>
      <w:pStyle w:val="AOHead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AOHead3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eastAsia="Calibri" w:hAnsi="Times New Roman" w:cs="Times New Roman"/>
      </w:r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WAFVersion" w:val="5.0"/>
  </w:docVars>
  <w:rsids>
    <w:rsidRoot w:val="00365CDF"/>
    <w:rsid w:val="00006FA0"/>
    <w:rsid w:val="00045700"/>
    <w:rsid w:val="000809B2"/>
    <w:rsid w:val="000A0E54"/>
    <w:rsid w:val="000B7A2F"/>
    <w:rsid w:val="000F12ED"/>
    <w:rsid w:val="00100847"/>
    <w:rsid w:val="00144FF0"/>
    <w:rsid w:val="00166C53"/>
    <w:rsid w:val="00185E97"/>
    <w:rsid w:val="00273DBF"/>
    <w:rsid w:val="002749ED"/>
    <w:rsid w:val="00315577"/>
    <w:rsid w:val="003514E9"/>
    <w:rsid w:val="00365CDF"/>
    <w:rsid w:val="00391E7F"/>
    <w:rsid w:val="00392401"/>
    <w:rsid w:val="003E4AA5"/>
    <w:rsid w:val="003F5C06"/>
    <w:rsid w:val="00410E79"/>
    <w:rsid w:val="00422E15"/>
    <w:rsid w:val="00486230"/>
    <w:rsid w:val="004927EE"/>
    <w:rsid w:val="004B6323"/>
    <w:rsid w:val="004C370B"/>
    <w:rsid w:val="004D189C"/>
    <w:rsid w:val="005D49BA"/>
    <w:rsid w:val="00634C23"/>
    <w:rsid w:val="00634C83"/>
    <w:rsid w:val="00671F58"/>
    <w:rsid w:val="006A677E"/>
    <w:rsid w:val="006E5014"/>
    <w:rsid w:val="006F2BDB"/>
    <w:rsid w:val="00830A36"/>
    <w:rsid w:val="00843429"/>
    <w:rsid w:val="008B4539"/>
    <w:rsid w:val="00923BAD"/>
    <w:rsid w:val="0094145E"/>
    <w:rsid w:val="00974482"/>
    <w:rsid w:val="00976302"/>
    <w:rsid w:val="009B7EB0"/>
    <w:rsid w:val="00A25D01"/>
    <w:rsid w:val="00A26F41"/>
    <w:rsid w:val="00A37D09"/>
    <w:rsid w:val="00A874E5"/>
    <w:rsid w:val="00AD1343"/>
    <w:rsid w:val="00B53B21"/>
    <w:rsid w:val="00B53D66"/>
    <w:rsid w:val="00BA110E"/>
    <w:rsid w:val="00CD739F"/>
    <w:rsid w:val="00CE1509"/>
    <w:rsid w:val="00D1109A"/>
    <w:rsid w:val="00D47083"/>
    <w:rsid w:val="00E17A45"/>
    <w:rsid w:val="00E429CC"/>
    <w:rsid w:val="00E632A6"/>
    <w:rsid w:val="00F87047"/>
    <w:rsid w:val="00FB7410"/>
    <w:rsid w:val="00FD6816"/>
    <w:rsid w:val="00FF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6821642"/>
  <w15:chartTrackingRefBased/>
  <w15:docId w15:val="{38DF89B6-B576-4381-AC35-D52E5B0F4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CDF"/>
    <w:pPr>
      <w:spacing w:after="0" w:line="240" w:lineRule="auto"/>
    </w:pPr>
    <w:rPr>
      <w:rFonts w:ascii="Times New Roman" w:eastAsia="Calibri" w:hAnsi="Times New Roman" w:cs="Times New Roman"/>
      <w:lang w:val="en-GB" w:eastAsia="en-US"/>
    </w:rPr>
  </w:style>
  <w:style w:type="paragraph" w:styleId="Ttulo2">
    <w:name w:val="heading 2"/>
    <w:basedOn w:val="Normal"/>
    <w:link w:val="Ttulo2Car"/>
    <w:uiPriority w:val="9"/>
    <w:semiHidden/>
    <w:unhideWhenUsed/>
    <w:qFormat/>
    <w:rsid w:val="000A0E54"/>
    <w:pPr>
      <w:keepNext/>
      <w:jc w:val="both"/>
      <w:outlineLvl w:val="1"/>
    </w:pPr>
    <w:rPr>
      <w:rFonts w:ascii="Arial" w:eastAsiaTheme="minorEastAsia" w:hAnsi="Arial" w:cs="Arial"/>
      <w:b/>
      <w:bCs/>
      <w:lang w:val="en-U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ODocTxt">
    <w:name w:val="AODocTxt"/>
    <w:basedOn w:val="Normal"/>
    <w:rsid w:val="00365CDF"/>
    <w:pPr>
      <w:spacing w:before="240" w:line="260" w:lineRule="atLeast"/>
      <w:jc w:val="both"/>
    </w:pPr>
  </w:style>
  <w:style w:type="paragraph" w:customStyle="1" w:styleId="AOHead1">
    <w:name w:val="AOHead1"/>
    <w:basedOn w:val="Normal"/>
    <w:next w:val="Normal"/>
    <w:uiPriority w:val="99"/>
    <w:rsid w:val="00365CDF"/>
    <w:pPr>
      <w:keepNext/>
      <w:numPr>
        <w:numId w:val="1"/>
      </w:numPr>
      <w:spacing w:before="240" w:line="260" w:lineRule="atLeast"/>
      <w:jc w:val="both"/>
      <w:outlineLvl w:val="0"/>
    </w:pPr>
    <w:rPr>
      <w:b/>
      <w:caps/>
      <w:kern w:val="28"/>
    </w:rPr>
  </w:style>
  <w:style w:type="paragraph" w:customStyle="1" w:styleId="AOHead2">
    <w:name w:val="AOHead2"/>
    <w:basedOn w:val="Normal"/>
    <w:next w:val="Normal"/>
    <w:uiPriority w:val="99"/>
    <w:rsid w:val="00365CDF"/>
    <w:pPr>
      <w:keepNext/>
      <w:numPr>
        <w:ilvl w:val="1"/>
        <w:numId w:val="1"/>
      </w:numPr>
      <w:spacing w:before="240" w:line="260" w:lineRule="atLeast"/>
      <w:jc w:val="both"/>
      <w:outlineLvl w:val="1"/>
    </w:pPr>
    <w:rPr>
      <w:b/>
    </w:rPr>
  </w:style>
  <w:style w:type="paragraph" w:customStyle="1" w:styleId="AOHead3">
    <w:name w:val="AOHead3"/>
    <w:basedOn w:val="Normal"/>
    <w:next w:val="Normal"/>
    <w:uiPriority w:val="99"/>
    <w:rsid w:val="00365CDF"/>
    <w:pPr>
      <w:numPr>
        <w:ilvl w:val="2"/>
        <w:numId w:val="1"/>
      </w:numPr>
      <w:spacing w:before="240" w:line="260" w:lineRule="atLeast"/>
      <w:jc w:val="both"/>
      <w:outlineLvl w:val="2"/>
    </w:pPr>
  </w:style>
  <w:style w:type="paragraph" w:customStyle="1" w:styleId="AOHead4">
    <w:name w:val="AOHead4"/>
    <w:basedOn w:val="Normal"/>
    <w:next w:val="Normal"/>
    <w:uiPriority w:val="99"/>
    <w:rsid w:val="00365CDF"/>
    <w:pPr>
      <w:numPr>
        <w:ilvl w:val="3"/>
        <w:numId w:val="1"/>
      </w:numPr>
      <w:spacing w:before="240" w:line="260" w:lineRule="atLeast"/>
      <w:jc w:val="both"/>
      <w:outlineLvl w:val="3"/>
    </w:pPr>
  </w:style>
  <w:style w:type="paragraph" w:customStyle="1" w:styleId="AOHead5">
    <w:name w:val="AOHead5"/>
    <w:basedOn w:val="Normal"/>
    <w:next w:val="Normal"/>
    <w:uiPriority w:val="99"/>
    <w:rsid w:val="00365CDF"/>
    <w:pPr>
      <w:numPr>
        <w:ilvl w:val="4"/>
        <w:numId w:val="1"/>
      </w:numPr>
      <w:spacing w:before="240" w:line="260" w:lineRule="atLeast"/>
      <w:jc w:val="both"/>
      <w:outlineLvl w:val="4"/>
    </w:pPr>
  </w:style>
  <w:style w:type="paragraph" w:customStyle="1" w:styleId="AOHead6">
    <w:name w:val="AOHead6"/>
    <w:basedOn w:val="Normal"/>
    <w:next w:val="Normal"/>
    <w:uiPriority w:val="99"/>
    <w:rsid w:val="00365CDF"/>
    <w:pPr>
      <w:numPr>
        <w:ilvl w:val="5"/>
        <w:numId w:val="1"/>
      </w:numPr>
      <w:spacing w:before="240" w:line="260" w:lineRule="atLeast"/>
      <w:jc w:val="both"/>
      <w:outlineLvl w:val="5"/>
    </w:pPr>
  </w:style>
  <w:style w:type="paragraph" w:styleId="Encabezado">
    <w:name w:val="header"/>
    <w:basedOn w:val="Normal"/>
    <w:link w:val="EncabezadoCar"/>
    <w:uiPriority w:val="99"/>
    <w:unhideWhenUsed/>
    <w:rsid w:val="000A0E54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A0E54"/>
    <w:rPr>
      <w:rFonts w:ascii="Times New Roman" w:eastAsia="Calibri" w:hAnsi="Times New Roman" w:cs="Times New Roman"/>
      <w:lang w:val="en-GB" w:eastAsia="en-US"/>
    </w:rPr>
  </w:style>
  <w:style w:type="paragraph" w:styleId="Piedepgina">
    <w:name w:val="footer"/>
    <w:basedOn w:val="Normal"/>
    <w:link w:val="PiedepginaCar"/>
    <w:uiPriority w:val="99"/>
    <w:unhideWhenUsed/>
    <w:rsid w:val="000A0E54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A0E54"/>
    <w:rPr>
      <w:rFonts w:ascii="Times New Roman" w:eastAsia="Calibri" w:hAnsi="Times New Roman" w:cs="Times New Roman"/>
      <w:lang w:val="en-GB"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0E54"/>
    <w:rPr>
      <w:rFonts w:ascii="Arial" w:hAnsi="Arial" w:cs="Arial"/>
      <w:b/>
      <w:bCs/>
    </w:rPr>
  </w:style>
  <w:style w:type="paragraph" w:styleId="Prrafodelista">
    <w:name w:val="List Paragraph"/>
    <w:basedOn w:val="Normal"/>
    <w:uiPriority w:val="34"/>
    <w:qFormat/>
    <w:rsid w:val="000A0E54"/>
    <w:pPr>
      <w:ind w:left="720"/>
      <w:contextualSpacing/>
    </w:pPr>
    <w:rPr>
      <w:rFonts w:eastAsia="Times New Roman"/>
      <w:sz w:val="24"/>
      <w:szCs w:val="24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1E7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1E7F"/>
    <w:rPr>
      <w:rFonts w:ascii="Segoe UI" w:eastAsia="Calibri" w:hAnsi="Segoe UI" w:cs="Segoe UI"/>
      <w:sz w:val="18"/>
      <w:szCs w:val="18"/>
      <w:lang w:val="en-GB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4C37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C370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C370B"/>
    <w:rPr>
      <w:rFonts w:ascii="Times New Roman" w:eastAsia="Calibri" w:hAnsi="Times New Roman" w:cs="Times New Roman"/>
      <w:sz w:val="20"/>
      <w:szCs w:val="20"/>
      <w:lang w:val="en-GB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C37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C370B"/>
    <w:rPr>
      <w:rFonts w:ascii="Times New Roman" w:eastAsia="Calibri" w:hAnsi="Times New Roman" w:cs="Times New Roman"/>
      <w:b/>
      <w:bCs/>
      <w:sz w:val="20"/>
      <w:szCs w:val="20"/>
      <w:lang w:val="en-GB" w:eastAsia="en-US"/>
    </w:rPr>
  </w:style>
  <w:style w:type="character" w:styleId="Textodelmarcadordeposicin">
    <w:name w:val="Placeholder Text"/>
    <w:basedOn w:val="Fuentedeprrafopredeter"/>
    <w:uiPriority w:val="99"/>
    <w:semiHidden/>
    <w:rsid w:val="00410E79"/>
    <w:rPr>
      <w:color w:val="80808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10E7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10E79"/>
    <w:rPr>
      <w:rFonts w:ascii="Times New Roman" w:eastAsia="Calibri" w:hAnsi="Times New Roman" w:cs="Times New Roman"/>
      <w:sz w:val="20"/>
      <w:szCs w:val="20"/>
      <w:lang w:val="en-GB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410E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8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32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F9B"/>
    <w:rsid w:val="0079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90F9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64A0B-7B20-45D6-A5D9-25DA50E8D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275</Words>
  <Characters>1515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Bank of America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Fahmawi, Waqaas - Legal</dc:creator>
  <cp:keywords/>
  <dc:description/>
  <cp:lastModifiedBy>Angela Mercedes Pinzon Cortes</cp:lastModifiedBy>
  <cp:revision>6</cp:revision>
  <cp:lastPrinted>2018-08-02T12:36:00Z</cp:lastPrinted>
  <dcterms:created xsi:type="dcterms:W3CDTF">2022-05-25T21:17:00Z</dcterms:created>
  <dcterms:modified xsi:type="dcterms:W3CDTF">2022-05-25T23:03:00Z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TitusGUID">
    <vt:lpwstr>80a7c84d-a7b6-41ed-a67c-bc2b6d77a4eb</vt:lpwstr>
  </property>
  <property fmtid="{D5CDD505-2E9C-101B-9397-08002B2CF9AE}" pid="4" name="Classification">
    <vt:lpwstr>Unclassified</vt:lpwstr>
  </property>
  <property fmtid="{D5CDD505-2E9C-101B-9397-08002B2CF9AE}" pid="5" name="MSIP_Label_666bb131-2344-48ed-84db-fe1e84a9fae2_Enabled">
    <vt:lpwstr>true</vt:lpwstr>
  </property>
  <property fmtid="{D5CDD505-2E9C-101B-9397-08002B2CF9AE}" pid="6" name="MSIP_Label_666bb131-2344-48ed-84db-fe1e84a9fae2_SetDate">
    <vt:lpwstr>2022-03-24T18:46:30Z</vt:lpwstr>
  </property>
  <property fmtid="{D5CDD505-2E9C-101B-9397-08002B2CF9AE}" pid="7" name="MSIP_Label_666bb131-2344-48ed-84db-fe1e84a9fae2_Method">
    <vt:lpwstr>Standard</vt:lpwstr>
  </property>
  <property fmtid="{D5CDD505-2E9C-101B-9397-08002B2CF9AE}" pid="8" name="MSIP_Label_666bb131-2344-48ed-84db-fe1e84a9fae2_Name">
    <vt:lpwstr>666bb131-2344-48ed-84db-fe1e84a9fae2</vt:lpwstr>
  </property>
  <property fmtid="{D5CDD505-2E9C-101B-9397-08002B2CF9AE}" pid="9" name="MSIP_Label_666bb131-2344-48ed-84db-fe1e84a9fae2_SiteId">
    <vt:lpwstr>bf1ce8b5-5d39-4bc5-ad6e-07b3e4d7d67a</vt:lpwstr>
  </property>
  <property fmtid="{D5CDD505-2E9C-101B-9397-08002B2CF9AE}" pid="10" name="MSIP_Label_666bb131-2344-48ed-84db-fe1e84a9fae2_ActionId">
    <vt:lpwstr>429a0c5b-77be-40f0-95ce-8f7cd18d2f22</vt:lpwstr>
  </property>
  <property fmtid="{D5CDD505-2E9C-101B-9397-08002B2CF9AE}" pid="11" name="MSIP_Label_666bb131-2344-48ed-84db-fe1e84a9fae2_ContentBits">
    <vt:lpwstr>0</vt:lpwstr>
  </property>
</Properties>
</file>