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9DC4A" w14:textId="77777777" w:rsidR="00EF6F8B" w:rsidRPr="00EF6F8B" w:rsidRDefault="00EF6F8B" w:rsidP="00EF6F8B">
      <w:pPr>
        <w:pStyle w:val="AODocTxt"/>
        <w:jc w:val="center"/>
        <w:rPr>
          <w:b/>
        </w:rPr>
      </w:pPr>
      <w:r w:rsidRPr="00EF6F8B">
        <w:rPr>
          <w:b/>
        </w:rPr>
        <w:t>PORTFOLIO RECONCILIATION, DISPUTE RESOLUTION AND DISCLOSURE</w:t>
      </w:r>
    </w:p>
    <w:p w14:paraId="6894F79E" w14:textId="77777777" w:rsidR="00EF6F8B" w:rsidRPr="00BB05E4" w:rsidRDefault="00EF6F8B" w:rsidP="00EF6F8B">
      <w:pPr>
        <w:pStyle w:val="AODocTxt"/>
        <w:rPr>
          <w:b/>
        </w:rPr>
      </w:pPr>
      <w:r w:rsidRPr="005362E1">
        <w:rPr>
          <w:b/>
          <w:bCs/>
        </w:rPr>
        <w:t>THIS AGREEMENT</w:t>
      </w:r>
      <w:r w:rsidRPr="00EF6F8B">
        <w:t xml:space="preserve"> </w:t>
      </w:r>
      <w:r w:rsidR="00893055">
        <w:t xml:space="preserve">(this </w:t>
      </w:r>
      <w:r w:rsidR="00893055">
        <w:rPr>
          <w:b/>
        </w:rPr>
        <w:t>Agreement</w:t>
      </w:r>
      <w:r w:rsidR="00893055">
        <w:t xml:space="preserve">) </w:t>
      </w:r>
      <w:r w:rsidRPr="00EF6F8B">
        <w:t xml:space="preserve">is dated </w:t>
      </w:r>
      <w:r w:rsidR="008E2637">
        <w:t>[   ]</w:t>
      </w:r>
      <w:r w:rsidR="00BB05E4">
        <w:t xml:space="preserve"> </w:t>
      </w:r>
      <w:r w:rsidRPr="00EF6F8B">
        <w:t>and is made</w:t>
      </w:r>
      <w:r w:rsidR="00BB05E4">
        <w:t xml:space="preserve"> between</w:t>
      </w:r>
      <w:r w:rsidR="00BB05E4" w:rsidRPr="00BB05E4">
        <w:rPr>
          <w:bCs/>
        </w:rPr>
        <w:t>:</w:t>
      </w:r>
    </w:p>
    <w:p w14:paraId="35EC689A" w14:textId="77777777" w:rsidR="00EF6F8B" w:rsidRPr="00EF6F8B" w:rsidRDefault="00EF6F8B" w:rsidP="00593BB4">
      <w:pPr>
        <w:pStyle w:val="AO1"/>
      </w:pPr>
      <w:r>
        <w:rPr>
          <w:bCs/>
        </w:rPr>
        <w:t xml:space="preserve"> </w:t>
      </w:r>
      <w:r w:rsidR="00EB0A54">
        <w:rPr>
          <w:lang w:val="es-AR"/>
        </w:rPr>
        <w:t>[    ]</w:t>
      </w:r>
      <w:r w:rsidR="00EB0A54" w:rsidRPr="00F67C1C">
        <w:rPr>
          <w:lang w:val="es-AR"/>
        </w:rPr>
        <w:t xml:space="preserve"> (</w:t>
      </w:r>
      <w:r w:rsidR="00EB0A54">
        <w:rPr>
          <w:b/>
          <w:lang w:val="es-AR"/>
        </w:rPr>
        <w:t>Bank</w:t>
      </w:r>
      <w:r w:rsidR="00EB0A54" w:rsidRPr="00F67C1C">
        <w:rPr>
          <w:lang w:val="es-AR"/>
        </w:rPr>
        <w:t>)</w:t>
      </w:r>
      <w:r w:rsidRPr="00EF6F8B">
        <w:t>; and</w:t>
      </w:r>
    </w:p>
    <w:p w14:paraId="4975AD9E" w14:textId="77777777" w:rsidR="00BB05E4" w:rsidRPr="00F67C1C" w:rsidRDefault="00492EEB" w:rsidP="00F67C1C">
      <w:pPr>
        <w:pStyle w:val="AO1"/>
        <w:rPr>
          <w:lang w:val="es-AR"/>
        </w:rPr>
      </w:pPr>
      <w:r w:rsidRPr="003D5C44">
        <w:rPr>
          <w:lang w:val="es-AR"/>
        </w:rPr>
        <w:t xml:space="preserve"> </w:t>
      </w:r>
      <w:r w:rsidR="008E2637">
        <w:rPr>
          <w:lang w:val="es-AR"/>
        </w:rPr>
        <w:t>[    ]</w:t>
      </w:r>
      <w:r w:rsidRPr="00F67C1C">
        <w:rPr>
          <w:lang w:val="es-AR"/>
        </w:rPr>
        <w:t xml:space="preserve"> </w:t>
      </w:r>
      <w:r w:rsidR="00BB05E4" w:rsidRPr="00F67C1C">
        <w:rPr>
          <w:lang w:val="es-AR"/>
        </w:rPr>
        <w:t>(</w:t>
      </w:r>
      <w:r w:rsidR="00593BB4" w:rsidRPr="00F67C1C">
        <w:rPr>
          <w:b/>
          <w:lang w:val="es-AR"/>
        </w:rPr>
        <w:t>Counterparty</w:t>
      </w:r>
      <w:r w:rsidR="00BB05E4" w:rsidRPr="00F67C1C">
        <w:rPr>
          <w:lang w:val="es-AR"/>
        </w:rPr>
        <w:t>)</w:t>
      </w:r>
    </w:p>
    <w:p w14:paraId="42925FCA" w14:textId="77777777" w:rsidR="00EF6F8B" w:rsidRPr="00BB05E4" w:rsidRDefault="00EF6F8B" w:rsidP="00EF6F8B">
      <w:pPr>
        <w:pStyle w:val="AODocTxt"/>
      </w:pPr>
      <w:r w:rsidRPr="005362E1">
        <w:rPr>
          <w:b/>
          <w:bCs/>
        </w:rPr>
        <w:t>IT IS AGREED</w:t>
      </w:r>
      <w:r w:rsidRPr="00BB05E4">
        <w:t xml:space="preserve"> as follows:</w:t>
      </w:r>
    </w:p>
    <w:p w14:paraId="0471969D" w14:textId="77777777" w:rsidR="00323A23" w:rsidRDefault="00323A23" w:rsidP="00323A23">
      <w:pPr>
        <w:pStyle w:val="AOHead1"/>
      </w:pPr>
      <w:bookmarkStart w:id="0" w:name="_Ref366144543"/>
      <w:r>
        <w:t>Portfolio Reconciliation</w:t>
      </w:r>
      <w:bookmarkEnd w:id="0"/>
    </w:p>
    <w:p w14:paraId="14ABAA6D" w14:textId="77777777" w:rsidR="00323A23" w:rsidRDefault="00323A23" w:rsidP="00323A23">
      <w:pPr>
        <w:pStyle w:val="AOHead2"/>
      </w:pPr>
      <w:bookmarkStart w:id="1" w:name="_Ref366143788"/>
      <w:r>
        <w:t>Agreement to Reconcile Portfolio Data</w:t>
      </w:r>
      <w:bookmarkEnd w:id="1"/>
    </w:p>
    <w:p w14:paraId="18B5E394" w14:textId="77777777" w:rsidR="00323A23" w:rsidRDefault="00323A23" w:rsidP="00323A23">
      <w:pPr>
        <w:pStyle w:val="AODocTxtL1"/>
      </w:pPr>
      <w:r>
        <w:t>The parties agree to reconcile portfolios as required by the Portfolio Reconciliation Risk Mitigation Techniques.</w:t>
      </w:r>
    </w:p>
    <w:p w14:paraId="14E85F4A" w14:textId="77777777" w:rsidR="00323A23" w:rsidRDefault="00323A23" w:rsidP="00323A23">
      <w:pPr>
        <w:pStyle w:val="AOHead3"/>
      </w:pPr>
      <w:r w:rsidRPr="00F14BCA">
        <w:rPr>
          <w:b/>
          <w:i/>
        </w:rPr>
        <w:t>One-way Delivery of Portfolio Data.</w:t>
      </w:r>
      <w:r w:rsidRPr="00323A23">
        <w:t xml:space="preserve"> </w:t>
      </w:r>
      <w:r>
        <w:t>If one party is a Portfolio Data Sending Entity and the other party is a Portfolio Data Receiving Entity:</w:t>
      </w:r>
    </w:p>
    <w:p w14:paraId="319C480A" w14:textId="77777777" w:rsidR="00323A23" w:rsidRDefault="00323A23" w:rsidP="00323A23">
      <w:pPr>
        <w:pStyle w:val="AOHead4"/>
      </w:pPr>
      <w:r>
        <w:t>on each Data Delivery Date, the Portfolio Data Sending Entity will provide Portfolio Data to the Portfolio Data Receiving Entity;</w:t>
      </w:r>
    </w:p>
    <w:p w14:paraId="53847D46" w14:textId="77777777" w:rsidR="00323A23" w:rsidRDefault="00323A23" w:rsidP="00323A23">
      <w:pPr>
        <w:pStyle w:val="AOHead4"/>
      </w:pPr>
      <w:r>
        <w:t xml:space="preserve">on each PR Due Date, the Portfolio Data Receiving Entity will perform a Data Reconciliation; </w:t>
      </w:r>
    </w:p>
    <w:p w14:paraId="1CC6D7E0" w14:textId="77777777" w:rsidR="00323A23" w:rsidRDefault="00323A23" w:rsidP="00323A23">
      <w:pPr>
        <w:pStyle w:val="AOHead4"/>
      </w:pPr>
      <w:r>
        <w:t>if the Portfolio Data Receiving Entity identifies one or more discrepancies which such party determines, acting reasonably and in good faith, are material to the rights and obligations of the parties in respect of one or more Relevant Transaction(s), it will notify the other party in writing as soon as reasonably practicable and the parties will consult with each other in an attempt to resolve such discrepancies in a timely fashion for so long as such discrepancies remain outstanding, using, without limitation, any applicable updated reconciliation data produced during the period in which such discrepancy remains outstanding; and</w:t>
      </w:r>
    </w:p>
    <w:p w14:paraId="13546001" w14:textId="77777777" w:rsidR="00323A23" w:rsidRDefault="00323A23" w:rsidP="00323A23">
      <w:pPr>
        <w:pStyle w:val="AOHead4"/>
        <w:rPr>
          <w:szCs w:val="20"/>
        </w:rPr>
      </w:pPr>
      <w:bookmarkStart w:id="2" w:name="_Ref366145626"/>
      <w:r>
        <w:t>if the Portfolio Data Receiving Entity does not notify the Portfolio Data Sending Entity that the Portfolio Data contains discrepancies by 4p.m. local time in the place of business of the Portfolio Data Sending Entity on the fifth Joint Business Day following the later of the PR Due Date and the date on which the Portfolio Data Sending Entity provided such Portfolio Data to the Portfolio Data Receiving Entity, the Portfolio Data Receiving Entity will be deemed to have affirmed such Portfolio Data.</w:t>
      </w:r>
      <w:bookmarkEnd w:id="2"/>
    </w:p>
    <w:p w14:paraId="26F3BF9C" w14:textId="77777777" w:rsidR="00323A23" w:rsidRPr="00323A23" w:rsidRDefault="00323A23" w:rsidP="00323A23">
      <w:pPr>
        <w:pStyle w:val="AOHead3"/>
      </w:pPr>
      <w:r w:rsidRPr="00F14BCA">
        <w:rPr>
          <w:b/>
          <w:i/>
        </w:rPr>
        <w:t>Exchange of Portfolio Data.</w:t>
      </w:r>
      <w:r w:rsidRPr="00323A23">
        <w:rPr>
          <w:b/>
        </w:rPr>
        <w:t xml:space="preserve"> </w:t>
      </w:r>
      <w:r w:rsidRPr="00323A23">
        <w:t>If both parties are Portfolio Data Sending Entities:</w:t>
      </w:r>
    </w:p>
    <w:p w14:paraId="700A94D1" w14:textId="77777777" w:rsidR="00323A23" w:rsidRPr="00323A23" w:rsidRDefault="00323A23" w:rsidP="00323A23">
      <w:pPr>
        <w:pStyle w:val="AOHead4"/>
      </w:pPr>
      <w:r w:rsidRPr="00323A23">
        <w:t>on each Data Delivery Date, each party will provide Portfolio Data to the other party;</w:t>
      </w:r>
    </w:p>
    <w:p w14:paraId="60FC0B43" w14:textId="77777777" w:rsidR="00323A23" w:rsidRPr="00323A23" w:rsidRDefault="00323A23" w:rsidP="00323A23">
      <w:pPr>
        <w:pStyle w:val="AOHead4"/>
      </w:pPr>
      <w:r w:rsidRPr="00323A23">
        <w:t>on each PR Due Date, each party will perform a Data Reconciliation; and</w:t>
      </w:r>
    </w:p>
    <w:p w14:paraId="4048F490" w14:textId="77777777" w:rsidR="00323A23" w:rsidRPr="00323A23" w:rsidRDefault="00323A23" w:rsidP="00323A23">
      <w:pPr>
        <w:pStyle w:val="AOHead4"/>
      </w:pPr>
      <w:r w:rsidRPr="00323A23">
        <w:t xml:space="preserve">if a party identifies one or more discrepancies which such party determines, acting reasonably and in good faith, are material to the rights and obligations of the parties in respect of one or more Relevant Transaction(s), it will notify the other party in writing as soon as reasonably practicable and the parties will consult with each other in an attempt to resolve any such discrepancies in a timely fashion for so long as such </w:t>
      </w:r>
      <w:r w:rsidRPr="00323A23">
        <w:lastRenderedPageBreak/>
        <w:t>discrepancies remain outstanding, using, without limitation, any applicable updated reconciliation data produced during the period in which such discrepancy remains outstanding.</w:t>
      </w:r>
    </w:p>
    <w:p w14:paraId="49DB0F61" w14:textId="77777777" w:rsidR="00323A23" w:rsidRPr="00593BB4" w:rsidRDefault="00323A23" w:rsidP="00593BB4">
      <w:pPr>
        <w:pStyle w:val="AOHead2"/>
      </w:pPr>
      <w:bookmarkStart w:id="3" w:name="_Ref366143792"/>
      <w:r w:rsidRPr="00593BB4">
        <w:t>Change of Status</w:t>
      </w:r>
      <w:bookmarkEnd w:id="3"/>
    </w:p>
    <w:p w14:paraId="73E9D89F" w14:textId="77777777" w:rsidR="00323A23" w:rsidRPr="00593BB4" w:rsidRDefault="00323A23" w:rsidP="00593BB4">
      <w:pPr>
        <w:pStyle w:val="AOHead3"/>
      </w:pPr>
      <w:bookmarkStart w:id="4" w:name="_Ref366154698"/>
      <w:r w:rsidRPr="00593BB4">
        <w:t>Each party may change its own designation with the written agreement of the other party (such agreement not to be unreasonably withheld or delayed and for this purpose the parties agree, without limitation, that it will not be unreasonable for a party to withhold agreement where agreement would result in the other party having different designations in respect of such party and one or more Affiliates of such party). No change of designation will be permitted where the result would be both parties are Portfolio Data Receiving Entities unless the parties also agree a process for reconciling Portfolio Data in order to meet the requirements of the Portfolio Reconciliation Risk Mitigation Techniques.</w:t>
      </w:r>
      <w:bookmarkEnd w:id="4"/>
      <w:r w:rsidRPr="00593BB4">
        <w:t xml:space="preserve"> </w:t>
      </w:r>
    </w:p>
    <w:p w14:paraId="6D284A8A" w14:textId="77777777" w:rsidR="00323A23" w:rsidRPr="00593BB4" w:rsidRDefault="00323A23" w:rsidP="00593BB4">
      <w:pPr>
        <w:pStyle w:val="AOHead3"/>
      </w:pPr>
      <w:r w:rsidRPr="00593BB4">
        <w:t>If a party believes, acting reasonably and in good faith, that the parties are required to perform Data Reconciliation at a greater or lesser frequency than that being used by the parties at such time, it will notify the other party of such in writing, providing evidence on request. From the date such notice is effectively delivered, such greater or lesser frequency will apply and the first following PR Due Date will be the earlier of the date agreed between the parties and the last Joint Business Day in the PR Period starting on the date on which the immediately preceding Data Reconciliation occurred (or, if no Joint Business Day occurs which is within such PR Period and is on or following the date such notice is effective, the first Joint Business Day following the later of the end of such PR Period and the date such notice is effective).</w:t>
      </w:r>
    </w:p>
    <w:p w14:paraId="3DC076DC" w14:textId="77777777" w:rsidR="00593BB4" w:rsidRDefault="00593BB4" w:rsidP="00593BB4">
      <w:pPr>
        <w:pStyle w:val="AOHead2"/>
      </w:pPr>
      <w:r w:rsidRPr="00593BB4">
        <w:t>Use of agents and third party service providers</w:t>
      </w:r>
    </w:p>
    <w:p w14:paraId="1B9CB0F6" w14:textId="77777777" w:rsidR="00593BB4" w:rsidRDefault="00593BB4" w:rsidP="00593BB4">
      <w:pPr>
        <w:pStyle w:val="AOHead3"/>
      </w:pPr>
      <w:bookmarkStart w:id="5" w:name="_Ref366143898"/>
      <w:r>
        <w:t xml:space="preserve">For the purposes of performing all or part of the actions under Clauses </w:t>
      </w:r>
      <w:r w:rsidR="00877071">
        <w:fldChar w:fldCharType="begin"/>
      </w:r>
      <w:r>
        <w:instrText xml:space="preserve"> REF _Ref366143788 \r \h </w:instrText>
      </w:r>
      <w:r w:rsidR="00877071">
        <w:fldChar w:fldCharType="separate"/>
      </w:r>
      <w:r w:rsidR="008B61AC">
        <w:t>1.1</w:t>
      </w:r>
      <w:r w:rsidR="00877071">
        <w:fldChar w:fldCharType="end"/>
      </w:r>
      <w:r>
        <w:t xml:space="preserve"> and </w:t>
      </w:r>
      <w:r w:rsidR="00877071">
        <w:fldChar w:fldCharType="begin"/>
      </w:r>
      <w:r>
        <w:instrText xml:space="preserve"> REF _Ref366143792 \r \h </w:instrText>
      </w:r>
      <w:r w:rsidR="00877071">
        <w:fldChar w:fldCharType="separate"/>
      </w:r>
      <w:r w:rsidR="008B61AC">
        <w:t>1.2</w:t>
      </w:r>
      <w:r w:rsidR="00877071">
        <w:fldChar w:fldCharType="end"/>
      </w:r>
      <w:r>
        <w:t xml:space="preserve"> above, each party may appoint:</w:t>
      </w:r>
      <w:bookmarkEnd w:id="5"/>
      <w:r>
        <w:t xml:space="preserve"> </w:t>
      </w:r>
    </w:p>
    <w:p w14:paraId="653D9B71" w14:textId="77777777" w:rsidR="00593BB4" w:rsidRDefault="00593BB4" w:rsidP="00593BB4">
      <w:pPr>
        <w:pStyle w:val="AOHead4"/>
      </w:pPr>
      <w:r>
        <w:t xml:space="preserve">an Affiliate to act as agent, immediately on written notice to the other party; and/or </w:t>
      </w:r>
    </w:p>
    <w:p w14:paraId="0781223C" w14:textId="77777777" w:rsidR="00593BB4" w:rsidRPr="00593BB4" w:rsidRDefault="00593BB4" w:rsidP="00593BB4">
      <w:pPr>
        <w:pStyle w:val="AOHead4"/>
      </w:pPr>
      <w:r w:rsidRPr="00593BB4">
        <w:t>subject to the other party's agreement (such agreement not to be unreasonably withheld or delayed and which may include any such agreement existing prior to</w:t>
      </w:r>
      <w:r>
        <w:t xml:space="preserve"> the date of this Agreement, (A) </w:t>
      </w:r>
      <w:r w:rsidRPr="00593BB4">
        <w:t>an entity other than</w:t>
      </w:r>
      <w:r>
        <w:t xml:space="preserve"> an Affiliate as agent and/or (B</w:t>
      </w:r>
      <w:r w:rsidRPr="00593BB4">
        <w:t xml:space="preserve">) a qualified and duly mandated third party service provider. </w:t>
      </w:r>
    </w:p>
    <w:p w14:paraId="000B05A8" w14:textId="77777777" w:rsidR="00593BB4" w:rsidRPr="00593BB4" w:rsidRDefault="00593BB4" w:rsidP="00593BB4">
      <w:pPr>
        <w:pStyle w:val="AOHead3"/>
      </w:pPr>
      <w:r>
        <w:t xml:space="preserve">Without prejudice to </w:t>
      </w:r>
      <w:r w:rsidR="00877071">
        <w:fldChar w:fldCharType="begin"/>
      </w:r>
      <w:r>
        <w:instrText xml:space="preserve"> REF _Ref366143898 \r \h </w:instrText>
      </w:r>
      <w:r w:rsidR="00877071">
        <w:fldChar w:fldCharType="separate"/>
      </w:r>
      <w:r w:rsidR="008B61AC">
        <w:t>(a)</w:t>
      </w:r>
      <w:r w:rsidR="00877071">
        <w:fldChar w:fldCharType="end"/>
      </w:r>
      <w:r>
        <w:t xml:space="preserve"> immediately above, for the purposes of performing all or part of the actions under </w:t>
      </w:r>
      <w:r w:rsidRPr="00593BB4">
        <w:t xml:space="preserve">Clauses </w:t>
      </w:r>
      <w:r w:rsidR="00877071" w:rsidRPr="00593BB4">
        <w:fldChar w:fldCharType="begin"/>
      </w:r>
      <w:r w:rsidRPr="00593BB4">
        <w:instrText xml:space="preserve"> REF _Ref366143788 \r \h </w:instrText>
      </w:r>
      <w:r w:rsidR="00877071" w:rsidRPr="00593BB4">
        <w:fldChar w:fldCharType="separate"/>
      </w:r>
      <w:r w:rsidR="008B61AC">
        <w:t>1.1</w:t>
      </w:r>
      <w:r w:rsidR="00877071" w:rsidRPr="00593BB4">
        <w:fldChar w:fldCharType="end"/>
      </w:r>
      <w:r w:rsidRPr="00593BB4">
        <w:t xml:space="preserve"> and </w:t>
      </w:r>
      <w:r w:rsidR="00877071" w:rsidRPr="00593BB4">
        <w:fldChar w:fldCharType="begin"/>
      </w:r>
      <w:r w:rsidRPr="00593BB4">
        <w:instrText xml:space="preserve"> REF _Ref366143792 \r \h </w:instrText>
      </w:r>
      <w:r w:rsidR="00877071" w:rsidRPr="00593BB4">
        <w:fldChar w:fldCharType="separate"/>
      </w:r>
      <w:r w:rsidR="008B61AC">
        <w:t>1.2</w:t>
      </w:r>
      <w:r w:rsidR="00877071" w:rsidRPr="00593BB4">
        <w:fldChar w:fldCharType="end"/>
      </w:r>
      <w:r>
        <w:t xml:space="preserve"> above:</w:t>
      </w:r>
    </w:p>
    <w:p w14:paraId="41E4B7CD" w14:textId="77777777" w:rsidR="00F10EA0" w:rsidRDefault="00EB0A54" w:rsidP="00F10EA0">
      <w:pPr>
        <w:pStyle w:val="AOHead4"/>
      </w:pPr>
      <w:r w:rsidRPr="00EB0A54">
        <w:rPr>
          <w:lang w:val="en-US"/>
        </w:rPr>
        <w:t>[    ] (</w:t>
      </w:r>
      <w:r>
        <w:rPr>
          <w:b/>
          <w:lang w:val="en-US"/>
        </w:rPr>
        <w:t>Bank</w:t>
      </w:r>
      <w:r w:rsidRPr="00EB0A54">
        <w:rPr>
          <w:lang w:val="en-US"/>
        </w:rPr>
        <w:t>)</w:t>
      </w:r>
      <w:r w:rsidR="00F10EA0" w:rsidRPr="00F22619">
        <w:t xml:space="preserve"> and Counterparty </w:t>
      </w:r>
      <w:r w:rsidR="00F10EA0">
        <w:t>confirm that they may use</w:t>
      </w:r>
      <w:r w:rsidR="00710572">
        <w:t xml:space="preserve"> </w:t>
      </w:r>
      <w:r w:rsidR="00F10EA0">
        <w:t>a third party service provider as may be separately agreed between them in writing from time to time.</w:t>
      </w:r>
    </w:p>
    <w:p w14:paraId="7E6C0F08" w14:textId="77777777" w:rsidR="00F22619" w:rsidRDefault="00F22619" w:rsidP="00F22619">
      <w:pPr>
        <w:pStyle w:val="AOHead1"/>
      </w:pPr>
      <w:bookmarkStart w:id="6" w:name="_Ref366144547"/>
      <w:r>
        <w:t>Dispute Identification and Resolution Procedure</w:t>
      </w:r>
      <w:bookmarkEnd w:id="6"/>
    </w:p>
    <w:p w14:paraId="1289B266" w14:textId="77777777" w:rsidR="00F22619" w:rsidRDefault="00F22619" w:rsidP="00F22619">
      <w:pPr>
        <w:pStyle w:val="AOHead2"/>
      </w:pPr>
      <w:bookmarkStart w:id="7" w:name="_Ref366144595"/>
      <w:r>
        <w:t xml:space="preserve">Procedure for Identifying </w:t>
      </w:r>
      <w:r w:rsidRPr="00F22619">
        <w:t xml:space="preserve">and </w:t>
      </w:r>
      <w:r>
        <w:t xml:space="preserve">Resolving </w:t>
      </w:r>
      <w:r w:rsidRPr="00F22619">
        <w:t>Disputes</w:t>
      </w:r>
      <w:bookmarkEnd w:id="7"/>
    </w:p>
    <w:p w14:paraId="478DBCB6" w14:textId="77777777" w:rsidR="00F22619" w:rsidRDefault="00F22619" w:rsidP="00F22619">
      <w:pPr>
        <w:pStyle w:val="AODocTxtL1"/>
      </w:pPr>
      <w:r>
        <w:t xml:space="preserve">The parties agree that they will use the following procedure to identify and resolve Disputes between them: </w:t>
      </w:r>
    </w:p>
    <w:p w14:paraId="238D5ACD" w14:textId="77777777" w:rsidR="00F22619" w:rsidRDefault="00F22619" w:rsidP="00F22619">
      <w:pPr>
        <w:pStyle w:val="AOHead3"/>
      </w:pPr>
      <w:bookmarkStart w:id="8" w:name="_Ref366144322"/>
      <w:r>
        <w:t>either party may identify a Dispute by sending a Dispute Notice to the other party;</w:t>
      </w:r>
      <w:bookmarkEnd w:id="8"/>
      <w:r>
        <w:t xml:space="preserve"> </w:t>
      </w:r>
    </w:p>
    <w:p w14:paraId="00E1254C" w14:textId="77777777" w:rsidR="00F22619" w:rsidRDefault="00F22619" w:rsidP="00F22619">
      <w:pPr>
        <w:pStyle w:val="AOHead3"/>
      </w:pPr>
      <w:bookmarkStart w:id="9" w:name="_Ref366144320"/>
      <w:r>
        <w:t xml:space="preserve">on or following the Dispute Date, the parties will consult in good faith in an attempt to resolve the Dispute in a timely manner, including, without limitation, by exchanging any relevant </w:t>
      </w:r>
      <w:r>
        <w:lastRenderedPageBreak/>
        <w:t>information and by identifying and using any Agreed Process which can be applied to the subject of the Dispute or, where no such Agreed Process exists or the parties agree that such Agreed Process would be unsuitable, determining and applying a resolution method for the Dispute; and</w:t>
      </w:r>
      <w:bookmarkEnd w:id="9"/>
    </w:p>
    <w:p w14:paraId="58607846" w14:textId="77777777" w:rsidR="00F22619" w:rsidRDefault="00F22619" w:rsidP="00F22619">
      <w:pPr>
        <w:pStyle w:val="AOHead3"/>
      </w:pPr>
      <w:r>
        <w:t xml:space="preserve">with respect to any Dispute that is not resolved within five Joint Business Days of the Dispute Date, refer issues internally to appropriately senior members of staff of such party or of its Affiliate, adviser or agent in addition to actions under </w:t>
      </w:r>
      <w:r w:rsidR="00877071">
        <w:fldChar w:fldCharType="begin"/>
      </w:r>
      <w:r>
        <w:instrText xml:space="preserve"> REF _Ref366144320 \r \h </w:instrText>
      </w:r>
      <w:r w:rsidR="00877071">
        <w:fldChar w:fldCharType="separate"/>
      </w:r>
      <w:r w:rsidR="008B61AC">
        <w:t>(b)</w:t>
      </w:r>
      <w:r w:rsidR="00877071">
        <w:fldChar w:fldCharType="end"/>
      </w:r>
      <w:r>
        <w:t xml:space="preserve"> immediately above (including actions under any Agreed Process identified and used under </w:t>
      </w:r>
      <w:r w:rsidR="00877071" w:rsidRPr="00F22619">
        <w:fldChar w:fldCharType="begin"/>
      </w:r>
      <w:r w:rsidRPr="00F22619">
        <w:instrText xml:space="preserve"> REF _Ref366144320 \r \h </w:instrText>
      </w:r>
      <w:r w:rsidR="00877071" w:rsidRPr="00F22619">
        <w:fldChar w:fldCharType="separate"/>
      </w:r>
      <w:r w:rsidR="008B61AC">
        <w:t>(b)</w:t>
      </w:r>
      <w:r w:rsidR="00877071" w:rsidRPr="00F22619">
        <w:fldChar w:fldCharType="end"/>
      </w:r>
      <w:r>
        <w:t xml:space="preserve"> immediately above) and to the extent such referral has not occurred as a result of action under </w:t>
      </w:r>
      <w:r w:rsidR="00877071" w:rsidRPr="00F22619">
        <w:fldChar w:fldCharType="begin"/>
      </w:r>
      <w:r w:rsidRPr="00F22619">
        <w:instrText xml:space="preserve"> REF _Ref366144320 \r \h </w:instrText>
      </w:r>
      <w:r w:rsidR="00877071" w:rsidRPr="00F22619">
        <w:fldChar w:fldCharType="separate"/>
      </w:r>
      <w:r w:rsidR="008B61AC">
        <w:t>(b)</w:t>
      </w:r>
      <w:r w:rsidR="00877071" w:rsidRPr="00F22619">
        <w:fldChar w:fldCharType="end"/>
      </w:r>
      <w:r>
        <w:t xml:space="preserve"> immediately above (including any Agreed Process).  </w:t>
      </w:r>
    </w:p>
    <w:p w14:paraId="07F300F5" w14:textId="77777777" w:rsidR="00F22619" w:rsidRDefault="00F22619" w:rsidP="00F22619">
      <w:pPr>
        <w:pStyle w:val="AOHead2"/>
      </w:pPr>
      <w:r>
        <w:t>Internal processes for recording and monitoring Disputes</w:t>
      </w:r>
    </w:p>
    <w:p w14:paraId="107868AF" w14:textId="77777777" w:rsidR="00323A23" w:rsidRDefault="00F22619" w:rsidP="00F22619">
      <w:pPr>
        <w:pStyle w:val="AODocTxtL1"/>
      </w:pPr>
      <w:r>
        <w:t>Each party agrees that, to the extent the Dispute Resolution Risk Mitigation Techniques apply to each party, it will have internal procedures and processes in place to record and monitor any Dispute for as long as the Dispute remains outstanding.</w:t>
      </w:r>
    </w:p>
    <w:p w14:paraId="7654C575" w14:textId="77777777" w:rsidR="00F22619" w:rsidRDefault="00F22619" w:rsidP="00F22619">
      <w:pPr>
        <w:pStyle w:val="AOHead1"/>
      </w:pPr>
      <w:bookmarkStart w:id="10" w:name="_Ref366144398"/>
      <w:r>
        <w:t>Relationship OF AGREEMENT to other portfolio reconciliation and dispute resolution processes</w:t>
      </w:r>
      <w:bookmarkEnd w:id="10"/>
    </w:p>
    <w:p w14:paraId="2D280913" w14:textId="77777777" w:rsidR="00F22619" w:rsidRDefault="00F22619" w:rsidP="00F22619">
      <w:pPr>
        <w:pStyle w:val="AODocTxtL1"/>
      </w:pPr>
      <w:r>
        <w:t xml:space="preserve">Clauses </w:t>
      </w:r>
      <w:r w:rsidR="00877071">
        <w:fldChar w:fldCharType="begin"/>
      </w:r>
      <w:r>
        <w:instrText xml:space="preserve"> REF _Ref366144543 \r \h </w:instrText>
      </w:r>
      <w:r w:rsidR="00877071">
        <w:fldChar w:fldCharType="separate"/>
      </w:r>
      <w:r w:rsidR="008B61AC">
        <w:t>1</w:t>
      </w:r>
      <w:r w:rsidR="00877071">
        <w:fldChar w:fldCharType="end"/>
      </w:r>
      <w:r>
        <w:t xml:space="preserve"> and </w:t>
      </w:r>
      <w:r w:rsidR="00877071">
        <w:fldChar w:fldCharType="begin"/>
      </w:r>
      <w:r>
        <w:instrText xml:space="preserve"> REF _Ref366144547 \r \h </w:instrText>
      </w:r>
      <w:r w:rsidR="00877071">
        <w:fldChar w:fldCharType="separate"/>
      </w:r>
      <w:r w:rsidR="008B61AC">
        <w:t>2</w:t>
      </w:r>
      <w:r w:rsidR="00877071">
        <w:fldChar w:fldCharType="end"/>
      </w:r>
      <w:r>
        <w:t xml:space="preserve"> and any action or inaction of either party in respect of it are without prejudice to any rights or obligations the parties may possess in respect of each other under any Agreed Process or other contractual agreement, by operation of law or otherwise. Action or inaction by a party in respect of </w:t>
      </w:r>
      <w:r w:rsidRPr="00F22619">
        <w:t xml:space="preserve">Clauses </w:t>
      </w:r>
      <w:r w:rsidR="00877071" w:rsidRPr="00F22619">
        <w:fldChar w:fldCharType="begin"/>
      </w:r>
      <w:r w:rsidRPr="00F22619">
        <w:instrText xml:space="preserve"> REF _Ref366144543 \r \h </w:instrText>
      </w:r>
      <w:r w:rsidR="00877071" w:rsidRPr="00F22619">
        <w:fldChar w:fldCharType="separate"/>
      </w:r>
      <w:r w:rsidR="008B61AC">
        <w:t>1</w:t>
      </w:r>
      <w:r w:rsidR="00877071" w:rsidRPr="00F22619">
        <w:fldChar w:fldCharType="end"/>
      </w:r>
      <w:r w:rsidRPr="00F22619">
        <w:t xml:space="preserve"> and </w:t>
      </w:r>
      <w:r w:rsidR="00877071" w:rsidRPr="00F22619">
        <w:fldChar w:fldCharType="begin"/>
      </w:r>
      <w:r w:rsidRPr="00F22619">
        <w:instrText xml:space="preserve"> REF _Ref366144547 \r \h </w:instrText>
      </w:r>
      <w:r w:rsidR="00877071" w:rsidRPr="00F22619">
        <w:fldChar w:fldCharType="separate"/>
      </w:r>
      <w:r w:rsidR="008B61AC">
        <w:t>2</w:t>
      </w:r>
      <w:r w:rsidR="00877071" w:rsidRPr="00F22619">
        <w:fldChar w:fldCharType="end"/>
      </w:r>
      <w:r w:rsidRPr="00F22619">
        <w:t xml:space="preserve"> </w:t>
      </w:r>
      <w:r>
        <w:t xml:space="preserve">will not be presumed to operate as an exercise or waiver, in whole or part, of any right, power or privilege such party may possess in respect of each other under any Agreed Process or other contractual agreement, by operation of law or otherwise. In particular, but without limitation, (a) any valuation in respect of one or more Relevant Transactions for the purposes of Clauses </w:t>
      </w:r>
      <w:r w:rsidR="00877071">
        <w:fldChar w:fldCharType="begin"/>
      </w:r>
      <w:r>
        <w:instrText xml:space="preserve"> REF _Ref366144543 \r \h </w:instrText>
      </w:r>
      <w:r w:rsidR="00877071">
        <w:fldChar w:fldCharType="separate"/>
      </w:r>
      <w:r w:rsidR="008B61AC">
        <w:t>1</w:t>
      </w:r>
      <w:r w:rsidR="00877071">
        <w:fldChar w:fldCharType="end"/>
      </w:r>
      <w:r>
        <w:t xml:space="preserve"> and </w:t>
      </w:r>
      <w:r w:rsidR="00877071">
        <w:fldChar w:fldCharType="begin"/>
      </w:r>
      <w:r>
        <w:instrText xml:space="preserve"> REF _Ref366144547 \r \h </w:instrText>
      </w:r>
      <w:r w:rsidR="00877071">
        <w:fldChar w:fldCharType="separate"/>
      </w:r>
      <w:r w:rsidR="008B61AC">
        <w:t>2</w:t>
      </w:r>
      <w:r w:rsidR="00877071">
        <w:fldChar w:fldCharType="end"/>
      </w:r>
      <w:r>
        <w:t xml:space="preserve"> will be without prejudice to any other valuation with respect to such Relevant Transaction(s) made for collateral, close out, dispute or other purpose; (b) the parties may seek to identify and resolve issues and discrepancies between themselves before either party delivers a Dispute Notice; and (c) nothing in </w:t>
      </w:r>
      <w:r w:rsidRPr="00F22619">
        <w:t xml:space="preserve">Clauses </w:t>
      </w:r>
      <w:r w:rsidR="00877071" w:rsidRPr="00F22619">
        <w:fldChar w:fldCharType="begin"/>
      </w:r>
      <w:r w:rsidRPr="00F22619">
        <w:instrText xml:space="preserve"> REF _Ref366144543 \r \h </w:instrText>
      </w:r>
      <w:r w:rsidR="00877071" w:rsidRPr="00F22619">
        <w:fldChar w:fldCharType="separate"/>
      </w:r>
      <w:r w:rsidR="008B61AC">
        <w:t>1</w:t>
      </w:r>
      <w:r w:rsidR="00877071" w:rsidRPr="00F22619">
        <w:fldChar w:fldCharType="end"/>
      </w:r>
      <w:r w:rsidRPr="00F22619">
        <w:t xml:space="preserve"> and </w:t>
      </w:r>
      <w:r w:rsidR="00877071" w:rsidRPr="00F22619">
        <w:fldChar w:fldCharType="begin"/>
      </w:r>
      <w:r w:rsidRPr="00F22619">
        <w:instrText xml:space="preserve"> REF _Ref366144547 \r \h </w:instrText>
      </w:r>
      <w:r w:rsidR="00877071" w:rsidRPr="00F22619">
        <w:fldChar w:fldCharType="separate"/>
      </w:r>
      <w:r w:rsidR="008B61AC">
        <w:t>2</w:t>
      </w:r>
      <w:r w:rsidR="00877071" w:rsidRPr="00F22619">
        <w:fldChar w:fldCharType="end"/>
      </w:r>
      <w:r w:rsidRPr="00F22619">
        <w:t xml:space="preserve"> </w:t>
      </w:r>
      <w:r>
        <w:t xml:space="preserve">obliges a party to deliver a Dispute Notice following the identification of any such issue or discrepancy (notwithstanding that such issue or discrepancy may remain unresolved) or limits the rights of the parties to serve a Dispute Notice, to commence or continue an Agreed Process (whether or not any action under Clause </w:t>
      </w:r>
      <w:r w:rsidR="00877071">
        <w:fldChar w:fldCharType="begin"/>
      </w:r>
      <w:r>
        <w:instrText xml:space="preserve"> REF _Ref366144595 \r \h </w:instrText>
      </w:r>
      <w:r w:rsidR="00877071">
        <w:fldChar w:fldCharType="separate"/>
      </w:r>
      <w:r w:rsidR="008B61AC">
        <w:t>2.1</w:t>
      </w:r>
      <w:r w:rsidR="00877071">
        <w:fldChar w:fldCharType="end"/>
      </w:r>
      <w:r>
        <w:t xml:space="preserve"> has occurred) or otherwise to pursue any dispute resolution process in respect of any such issue or discrepancy (whether or not any action under Clause </w:t>
      </w:r>
      <w:r w:rsidR="00877071" w:rsidRPr="00F22619">
        <w:fldChar w:fldCharType="begin"/>
      </w:r>
      <w:r w:rsidRPr="00F22619">
        <w:instrText xml:space="preserve"> REF _Ref366144595 \r \h </w:instrText>
      </w:r>
      <w:r w:rsidR="00877071" w:rsidRPr="00F22619">
        <w:fldChar w:fldCharType="separate"/>
      </w:r>
      <w:r w:rsidR="008B61AC">
        <w:t>2.1</w:t>
      </w:r>
      <w:r w:rsidR="00877071" w:rsidRPr="00F22619">
        <w:fldChar w:fldCharType="end"/>
      </w:r>
      <w:r>
        <w:t xml:space="preserve"> has occurred). </w:t>
      </w:r>
    </w:p>
    <w:p w14:paraId="73F0E335" w14:textId="77777777" w:rsidR="00F22619" w:rsidRPr="00F22619" w:rsidRDefault="00F22619" w:rsidP="00F22619">
      <w:pPr>
        <w:pStyle w:val="AOHead1"/>
      </w:pPr>
      <w:bookmarkStart w:id="11" w:name="_Ref366144862"/>
      <w:r w:rsidRPr="00F22619">
        <w:t>Confidentiality Waiver</w:t>
      </w:r>
      <w:bookmarkEnd w:id="11"/>
    </w:p>
    <w:p w14:paraId="7B496921" w14:textId="77777777" w:rsidR="00F14BCA" w:rsidRDefault="00F14BCA" w:rsidP="00F14BCA">
      <w:pPr>
        <w:pStyle w:val="AOHead2"/>
      </w:pPr>
      <w:bookmarkStart w:id="12" w:name="_Ref366152797"/>
      <w:r>
        <w:t>Consent to Disclosure</w:t>
      </w:r>
      <w:bookmarkEnd w:id="12"/>
    </w:p>
    <w:p w14:paraId="4A530103" w14:textId="77777777" w:rsidR="00F22619" w:rsidRPr="00F22619" w:rsidRDefault="00F22619" w:rsidP="00F22619">
      <w:pPr>
        <w:pStyle w:val="AODocTxtL1"/>
      </w:pPr>
      <w:r w:rsidRPr="00F22619">
        <w:t>Notwithstanding anything to the contrary in this Agreement or in any non-disclosure, confidentiality or other agreement between the parties, each party hereby consents to the disclosure of information:</w:t>
      </w:r>
    </w:p>
    <w:p w14:paraId="6D5AAAD3" w14:textId="77777777" w:rsidR="00F22619" w:rsidRPr="00F22619" w:rsidRDefault="007F58E2" w:rsidP="00F14BCA">
      <w:pPr>
        <w:pStyle w:val="AOHead3"/>
      </w:pPr>
      <w:r w:rsidRPr="00E15075">
        <w:t>to the extent required or permitted under, or made in accordance with, the provisions of any applicable law, rule or regulation, including EMIR and any applicable supporting law, rule or regulation (“Reporting Regulation</w:t>
      </w:r>
      <w:r w:rsidRPr="00E15075">
        <w:rPr>
          <w:b/>
        </w:rPr>
        <w:t>”</w:t>
      </w:r>
      <w:r w:rsidRPr="00E15075">
        <w:t>), which mandate reporting and/or retention of transaction and similar information or to the extent required or permitted under, or made in accordance with, any order or directive in relation to (and including) such Reporting Regulation regarding reporting and/or retention of transaction and similar information issued by any authority or body or agency in accordance with which the other party is required or accustomed to act ("Reporting Requirements")</w:t>
      </w:r>
      <w:r w:rsidR="00F22619" w:rsidRPr="00F22619">
        <w:t xml:space="preserve">; </w:t>
      </w:r>
      <w:r w:rsidR="0031607D">
        <w:t xml:space="preserve">and </w:t>
      </w:r>
    </w:p>
    <w:p w14:paraId="4A585F95" w14:textId="77777777" w:rsidR="00F22619" w:rsidRPr="00F22619" w:rsidRDefault="00F22619" w:rsidP="00F14BCA">
      <w:pPr>
        <w:pStyle w:val="AOHead3"/>
      </w:pPr>
      <w:bookmarkStart w:id="13" w:name="_Ref366569073"/>
      <w:r w:rsidRPr="00F22619">
        <w:lastRenderedPageBreak/>
        <w:t xml:space="preserve">to and </w:t>
      </w:r>
      <w:r w:rsidR="007F58E2" w:rsidRPr="00E15075">
        <w:t>between the other party's head office, branches or Affiliates, or any persons or entities who provide services to such other party or its head office, branches or Affiliates, in each case, in connection with such Reporting Requirements</w:t>
      </w:r>
      <w:r w:rsidRPr="00F22619">
        <w:t>.</w:t>
      </w:r>
      <w:bookmarkEnd w:id="13"/>
      <w:r w:rsidRPr="00F22619">
        <w:t xml:space="preserve"> </w:t>
      </w:r>
    </w:p>
    <w:p w14:paraId="3B57A594" w14:textId="77777777" w:rsidR="00F14BCA" w:rsidRDefault="00065C5B" w:rsidP="00F14BCA">
      <w:pPr>
        <w:pStyle w:val="AOHead2"/>
      </w:pPr>
      <w:r>
        <w:t>Regulatory</w:t>
      </w:r>
      <w:r w:rsidR="00F14BCA">
        <w:t xml:space="preserve"> Requirements</w:t>
      </w:r>
    </w:p>
    <w:p w14:paraId="2C77FF6D" w14:textId="77777777" w:rsidR="00F22619" w:rsidRPr="00F22619" w:rsidRDefault="007F58E2" w:rsidP="00F22619">
      <w:pPr>
        <w:pStyle w:val="AODocTxtL1"/>
      </w:pPr>
      <w:r w:rsidRPr="00E15075">
        <w:t>Each party acknowledges that pursuant to the relevant Reporting Regulation, regulators require reporting of trade data to increase market transparency and enable regulators to monitor systemic risk to ensure safeguards are implemented globally</w:t>
      </w:r>
      <w:r w:rsidR="00F22619" w:rsidRPr="00F22619">
        <w:t>.</w:t>
      </w:r>
    </w:p>
    <w:p w14:paraId="128EB837" w14:textId="77777777" w:rsidR="00F14BCA" w:rsidRDefault="00F14BCA" w:rsidP="00F14BCA">
      <w:pPr>
        <w:pStyle w:val="AOHead2"/>
      </w:pPr>
      <w:r>
        <w:t>Reporting Requirements</w:t>
      </w:r>
    </w:p>
    <w:p w14:paraId="083DD1A1" w14:textId="77777777" w:rsidR="00F22619" w:rsidRPr="00F22619" w:rsidRDefault="007F58E2" w:rsidP="00F22619">
      <w:pPr>
        <w:pStyle w:val="AODocTxtL1"/>
      </w:pPr>
      <w:r w:rsidRPr="00E15075">
        <w:t>Each party further acknowledges that disclosures made pursuant to this paragraph may include, without limitation, the disclosure of trade information including a party's identity (by name, address, corporate affiliation, identifier or otherwise) to any trade repository registered or recognized in accordance with the relevant Reporting Regulation, including Article 55 of EMIR, Article 77 of EMIR or one or more systems or services operated by any such trade repository ("TR") and any relevant regulators (including without limitation, the European Securities and Markets Authority and national regulators in the European Union) under the Reporting Regulation and that such disclosures could result in certain anonymous transaction and pricing data becoming available to the public. Each party further acknowledges that, for purposes of complying with regulatory reporting obligations, a party may use a third party service provider to transfer trade information into a TR and that a TR may engage the services of a global trade repository regulated by one or more governmental regulators. Each party also acknowledges that disclosures made pursuant hereto may be made to recipients in a jurisdiction other than that of the disclosing party or a jurisdiction that may not necessarily provide an equivalent or adequate level of protection for personal data as the counterparty’s home jurisdiction. For the avoidance of doubt, (i) to the extent that applicable non-disclosure, confidentiality, bank secrecy, data privacy or other law imposes non-disclosure requirements on transaction and similar information required or permitted to be disclosed as contemplated herein but permits a party to waive such requirements by consent, the consent and acknowledgements provided herein shall be a consent by each party for purposes of such law; (ii) any agreement between the parties to maintain confidentiality of information contained herein or in any non-disclosure, confidentiality or other agreement shall continue to apply to the extent that such agreement is not inconsistent with the disclosure of information in connection with the Reporting Requirements as set out herein; and (iii) nothing herein is intended to limit the scope of any other consent to disclosure separately given by each party to the other party</w:t>
      </w:r>
      <w:r w:rsidR="00F22619" w:rsidRPr="00F22619">
        <w:t>.</w:t>
      </w:r>
    </w:p>
    <w:p w14:paraId="469FB114" w14:textId="77777777" w:rsidR="00F14BCA" w:rsidRDefault="00F14BCA" w:rsidP="00F14BCA">
      <w:pPr>
        <w:pStyle w:val="AOHead2"/>
      </w:pPr>
      <w:bookmarkStart w:id="14" w:name="_Ref366145171"/>
      <w:r>
        <w:t>Duties of confidence</w:t>
      </w:r>
      <w:bookmarkEnd w:id="14"/>
    </w:p>
    <w:p w14:paraId="775930D1" w14:textId="77777777" w:rsidR="00F22619" w:rsidRPr="00F22619" w:rsidRDefault="00F22619" w:rsidP="00F22619">
      <w:pPr>
        <w:pStyle w:val="AODocTxtL1"/>
      </w:pPr>
      <w:r w:rsidRPr="00F22619">
        <w:t xml:space="preserve">The </w:t>
      </w:r>
      <w:r w:rsidR="00F14BCA">
        <w:t xml:space="preserve">relevant </w:t>
      </w:r>
      <w:r w:rsidRPr="00F22619">
        <w:t xml:space="preserve">consenting party represents and warrants that any third party to whom it owes a duty of confidence in respect of the information disclosed </w:t>
      </w:r>
      <w:r w:rsidR="00F14BCA" w:rsidRPr="00F14BCA">
        <w:t xml:space="preserve">pursuant to this Clause </w:t>
      </w:r>
      <w:r w:rsidR="00877071" w:rsidRPr="00F14BCA">
        <w:fldChar w:fldCharType="begin"/>
      </w:r>
      <w:r w:rsidR="00F14BCA" w:rsidRPr="00F14BCA">
        <w:instrText xml:space="preserve"> REF _Ref366144862 \r \h </w:instrText>
      </w:r>
      <w:r w:rsidR="00877071" w:rsidRPr="00F14BCA">
        <w:fldChar w:fldCharType="separate"/>
      </w:r>
      <w:r w:rsidR="008B61AC">
        <w:t>4</w:t>
      </w:r>
      <w:r w:rsidR="00877071" w:rsidRPr="00F14BCA">
        <w:fldChar w:fldCharType="end"/>
      </w:r>
      <w:r w:rsidR="00F14BCA">
        <w:t xml:space="preserve"> </w:t>
      </w:r>
      <w:r w:rsidRPr="00F22619">
        <w:t>has consented to the disclosure of that information.</w:t>
      </w:r>
    </w:p>
    <w:p w14:paraId="33B2B8FD" w14:textId="77777777" w:rsidR="00F14BCA" w:rsidRPr="00F14BCA" w:rsidRDefault="00F14BCA" w:rsidP="00F14BCA">
      <w:pPr>
        <w:pStyle w:val="AOHead1"/>
      </w:pPr>
      <w:r w:rsidRPr="00F14BCA">
        <w:t>Remedies for Breach</w:t>
      </w:r>
    </w:p>
    <w:p w14:paraId="6A6F8D83" w14:textId="77777777" w:rsidR="00F14BCA" w:rsidRDefault="00F14BCA" w:rsidP="00F14BCA">
      <w:pPr>
        <w:pStyle w:val="AODocTxtL1"/>
      </w:pPr>
      <w:r w:rsidRPr="00F14BCA">
        <w:t xml:space="preserve">Without prejudice to the rights, powers, remedies and privileges provided by law, failure by a party to take any actions required by or to otherwise comply with </w:t>
      </w:r>
      <w:r>
        <w:t xml:space="preserve">this Agreement </w:t>
      </w:r>
      <w:r w:rsidRPr="00F14BCA">
        <w:t xml:space="preserve">or any inaccuracy of the representation and warranty in </w:t>
      </w:r>
      <w:r>
        <w:t xml:space="preserve">Clause </w:t>
      </w:r>
      <w:r w:rsidR="00877071" w:rsidRPr="00F14BCA">
        <w:fldChar w:fldCharType="begin"/>
      </w:r>
      <w:r w:rsidRPr="00F14BCA">
        <w:instrText xml:space="preserve"> REF _Ref366144862 \r \h </w:instrText>
      </w:r>
      <w:r w:rsidR="00877071" w:rsidRPr="00F14BCA">
        <w:fldChar w:fldCharType="separate"/>
      </w:r>
      <w:r w:rsidR="008B61AC">
        <w:t>4</w:t>
      </w:r>
      <w:r w:rsidR="00877071" w:rsidRPr="00F14BCA">
        <w:fldChar w:fldCharType="end"/>
      </w:r>
      <w:r w:rsidRPr="00F14BCA">
        <w:t>, in either case, will not constitute a default, event of default, termination event or similar event (however described) under any agreement</w:t>
      </w:r>
      <w:r>
        <w:t xml:space="preserve"> between </w:t>
      </w:r>
      <w:r w:rsidR="00EB0A54" w:rsidRPr="00EB0A54">
        <w:rPr>
          <w:lang w:val="en-US"/>
        </w:rPr>
        <w:t>[    ] (</w:t>
      </w:r>
      <w:r w:rsidR="00EB0A54">
        <w:rPr>
          <w:b/>
          <w:lang w:val="en-US"/>
        </w:rPr>
        <w:t>Bank</w:t>
      </w:r>
      <w:r w:rsidR="00EB0A54" w:rsidRPr="00EB0A54">
        <w:rPr>
          <w:lang w:val="en-US"/>
        </w:rPr>
        <w:t>)</w:t>
      </w:r>
      <w:r>
        <w:t xml:space="preserve"> and Counterparty.</w:t>
      </w:r>
    </w:p>
    <w:p w14:paraId="5494BEFE" w14:textId="77777777" w:rsidR="00E436B8" w:rsidRPr="00405540" w:rsidRDefault="00E436B8" w:rsidP="00E436B8">
      <w:pPr>
        <w:pStyle w:val="AOHead1"/>
      </w:pPr>
      <w:bookmarkStart w:id="15" w:name="_Toc362963539"/>
      <w:bookmarkStart w:id="16" w:name="_Ref366146070"/>
      <w:r w:rsidRPr="00405540">
        <w:lastRenderedPageBreak/>
        <w:t>Representations</w:t>
      </w:r>
      <w:bookmarkEnd w:id="15"/>
    </w:p>
    <w:p w14:paraId="696FFF65" w14:textId="77777777" w:rsidR="004506F1" w:rsidRPr="004506F1" w:rsidRDefault="004506F1" w:rsidP="004506F1">
      <w:pPr>
        <w:pStyle w:val="AODocTxtL1"/>
      </w:pPr>
      <w:r w:rsidRPr="004506F1">
        <w:t>Each party makes the following representations to the other party on the date</w:t>
      </w:r>
      <w:r>
        <w:t xml:space="preserve"> this Agreement is entered into:</w:t>
      </w:r>
    </w:p>
    <w:p w14:paraId="08A5BFD4" w14:textId="77777777" w:rsidR="004506F1" w:rsidRPr="004506F1" w:rsidRDefault="004506F1" w:rsidP="004506F1">
      <w:pPr>
        <w:pStyle w:val="AODocTxtL1"/>
        <w:numPr>
          <w:ilvl w:val="2"/>
          <w:numId w:val="1"/>
        </w:numPr>
      </w:pPr>
      <w:r w:rsidRPr="004506F1">
        <w:rPr>
          <w:b/>
        </w:rPr>
        <w:t>Status.</w:t>
      </w:r>
      <w:r w:rsidRPr="004506F1">
        <w:t xml:space="preserve"> It is duly organised and validly existing under the laws of the jurisdiction of its organisation or incorporation and, if relevant un</w:t>
      </w:r>
      <w:r>
        <w:t>der such laws, in good standing;</w:t>
      </w:r>
    </w:p>
    <w:p w14:paraId="59BCDE56" w14:textId="77777777" w:rsidR="004506F1" w:rsidRPr="004506F1" w:rsidRDefault="004506F1" w:rsidP="004506F1">
      <w:pPr>
        <w:pStyle w:val="AODocTxtL1"/>
        <w:numPr>
          <w:ilvl w:val="2"/>
          <w:numId w:val="1"/>
        </w:numPr>
      </w:pPr>
      <w:r w:rsidRPr="004506F1">
        <w:rPr>
          <w:b/>
        </w:rPr>
        <w:t>Powers.</w:t>
      </w:r>
      <w:r w:rsidRPr="004506F1">
        <w:t xml:space="preserve"> It has the power to execute this Agreement, to deliver this Agreement and to perform its obligations under this Agreement and has taken all necessary action to authorise such exec</w:t>
      </w:r>
      <w:r>
        <w:t>ution, delivery and performance;</w:t>
      </w:r>
    </w:p>
    <w:p w14:paraId="3DAA7D88" w14:textId="77777777" w:rsidR="004506F1" w:rsidRPr="004506F1" w:rsidRDefault="004506F1" w:rsidP="004506F1">
      <w:pPr>
        <w:pStyle w:val="AODocTxtL1"/>
        <w:numPr>
          <w:ilvl w:val="2"/>
          <w:numId w:val="1"/>
        </w:numPr>
      </w:pPr>
      <w:r w:rsidRPr="004506F1">
        <w:rPr>
          <w:b/>
        </w:rPr>
        <w:t>No Violation or Conflict.</w:t>
      </w:r>
      <w:r w:rsidRPr="004506F1">
        <w:t xml:space="preserve"> Such execution, delivery and performance do not violate or conflict with any law applicable to it, any provision of its constitutional documents, any order or judgment of any court or other agency of government applicable to it or any of its assets or any contractual restriction binding on or af</w:t>
      </w:r>
      <w:r>
        <w:t>fecting it or any of its assets;</w:t>
      </w:r>
    </w:p>
    <w:p w14:paraId="509EA0A6" w14:textId="77777777" w:rsidR="004506F1" w:rsidRPr="004506F1" w:rsidRDefault="004506F1" w:rsidP="004506F1">
      <w:pPr>
        <w:pStyle w:val="AODocTxtL1"/>
        <w:numPr>
          <w:ilvl w:val="2"/>
          <w:numId w:val="1"/>
        </w:numPr>
      </w:pPr>
      <w:r w:rsidRPr="004506F1">
        <w:rPr>
          <w:b/>
        </w:rPr>
        <w:t>Consents.</w:t>
      </w:r>
      <w:r w:rsidRPr="004506F1">
        <w:t xml:space="preserve"> All governmental and other consents that are required to have been obtained by it with respect to this Agreement have been obtained and are in full force and effect and all conditions of any such conse</w:t>
      </w:r>
      <w:r>
        <w:t>nts have been complied with; and</w:t>
      </w:r>
    </w:p>
    <w:p w14:paraId="7085DCC3" w14:textId="77777777" w:rsidR="004506F1" w:rsidRPr="004506F1" w:rsidRDefault="004506F1" w:rsidP="004506F1">
      <w:pPr>
        <w:pStyle w:val="AODocTxtL1"/>
        <w:numPr>
          <w:ilvl w:val="2"/>
          <w:numId w:val="1"/>
        </w:numPr>
      </w:pPr>
      <w:r w:rsidRPr="004506F1">
        <w:rPr>
          <w:b/>
        </w:rPr>
        <w:t>Obligations Binding.</w:t>
      </w:r>
      <w:r w:rsidRPr="004506F1">
        <w:t xml:space="preserve"> Its obligations under this Agreement constitute its legal, valid and binding obligations, enforceable in accordance with their respective terms (subject to applicable bankruptcy, reorganisation, insolvency, moratorium or similar laws affecting creditors’ rights generally and subject, as to enforceability, to equitable principles of general application (regardless of whether enforcement is sought in a proceeding in equity or at law)).</w:t>
      </w:r>
    </w:p>
    <w:p w14:paraId="5A732A96" w14:textId="77777777" w:rsidR="00053D60" w:rsidRDefault="00053D60" w:rsidP="00053D60">
      <w:pPr>
        <w:pStyle w:val="AOHead1"/>
      </w:pPr>
      <w:bookmarkStart w:id="17" w:name="_Ref366154021"/>
      <w:r>
        <w:t>NOTICES</w:t>
      </w:r>
      <w:bookmarkEnd w:id="16"/>
      <w:bookmarkEnd w:id="17"/>
    </w:p>
    <w:p w14:paraId="0F359F2D" w14:textId="77777777" w:rsidR="00053D60" w:rsidRDefault="00053D60" w:rsidP="00053D60">
      <w:pPr>
        <w:pStyle w:val="AODocTxtL1"/>
      </w:pPr>
      <w:r>
        <w:t xml:space="preserve">Unless otherwise agreed between the parties in writing, any notice or other communication in respect of this Agreement may only be given by email to the email address provided below (as may be updated by written notice) and will be deemed effective on the date it is delivered unless the date of that delivery (or attempted delivery) is not a Local Business Day (in respect of the receiving party) or, subject to Clause </w:t>
      </w:r>
      <w:r w:rsidR="00877071">
        <w:fldChar w:fldCharType="begin"/>
      </w:r>
      <w:r>
        <w:instrText xml:space="preserve"> REF _Ref366145626 \r \h </w:instrText>
      </w:r>
      <w:r w:rsidR="00877071">
        <w:fldChar w:fldCharType="separate"/>
      </w:r>
      <w:r w:rsidR="008B61AC">
        <w:t>1.1(a)(iv)</w:t>
      </w:r>
      <w:r w:rsidR="00877071">
        <w:fldChar w:fldCharType="end"/>
      </w:r>
      <w:r>
        <w:t>, that communication is delivered (or attempted) after the close of business on a Local Business Day (in respect of the receiving party), in which case that communication will be deemed given and effective on the first following day that is a Local Business Day (in respect of the receiving party).</w:t>
      </w:r>
    </w:p>
    <w:p w14:paraId="17283D4B" w14:textId="77777777" w:rsidR="00053D60" w:rsidRDefault="00053D60" w:rsidP="00053D60">
      <w:pPr>
        <w:pStyle w:val="AOHead3"/>
      </w:pPr>
      <w:r>
        <w:t xml:space="preserve">Notices to </w:t>
      </w:r>
      <w:r w:rsidR="00EB0A54">
        <w:t>[     ]</w:t>
      </w:r>
      <w:r>
        <w:t>:</w:t>
      </w:r>
    </w:p>
    <w:p w14:paraId="7DC425B5" w14:textId="77777777" w:rsidR="00EB0A54" w:rsidRDefault="00053D60" w:rsidP="00EA55A9">
      <w:pPr>
        <w:pStyle w:val="AOHead4"/>
        <w:tabs>
          <w:tab w:val="left" w:pos="4678"/>
        </w:tabs>
      </w:pPr>
      <w:r>
        <w:t xml:space="preserve">Portfolio Data: </w:t>
      </w:r>
      <w:r>
        <w:tab/>
      </w:r>
      <w:r w:rsidR="00EB0A54">
        <w:t>[     ]</w:t>
      </w:r>
    </w:p>
    <w:p w14:paraId="68E78B2F" w14:textId="77777777" w:rsidR="00053D60" w:rsidRDefault="00053D60" w:rsidP="00EA55A9">
      <w:pPr>
        <w:pStyle w:val="AOHead4"/>
        <w:tabs>
          <w:tab w:val="left" w:pos="4678"/>
        </w:tabs>
      </w:pPr>
      <w:r>
        <w:t xml:space="preserve">Notice of a discrepancy: </w:t>
      </w:r>
      <w:r>
        <w:tab/>
      </w:r>
      <w:r w:rsidR="00EB0A54">
        <w:t>[     ]</w:t>
      </w:r>
    </w:p>
    <w:p w14:paraId="15D382C9" w14:textId="77777777" w:rsidR="00053D60" w:rsidRDefault="00053D60" w:rsidP="00053D60">
      <w:pPr>
        <w:pStyle w:val="AOHead4"/>
        <w:tabs>
          <w:tab w:val="left" w:pos="4678"/>
        </w:tabs>
      </w:pPr>
      <w:r>
        <w:t>Dispute Notice:</w:t>
      </w:r>
      <w:r>
        <w:tab/>
      </w:r>
      <w:r w:rsidR="00EB0A54">
        <w:t>[     ]</w:t>
      </w:r>
    </w:p>
    <w:p w14:paraId="6E4D2465" w14:textId="77777777" w:rsidR="00053D60" w:rsidRDefault="00053D60" w:rsidP="00053D60">
      <w:pPr>
        <w:pStyle w:val="AOHead3"/>
      </w:pPr>
      <w:r>
        <w:t>Notices to Counterparty:</w:t>
      </w:r>
      <w:r w:rsidRPr="00053D60">
        <w:rPr>
          <w:rStyle w:val="Refdenotaalpie"/>
        </w:rPr>
        <w:t xml:space="preserve"> </w:t>
      </w:r>
    </w:p>
    <w:p w14:paraId="207A2C8E" w14:textId="77777777" w:rsidR="00053D60" w:rsidRDefault="00053D60" w:rsidP="00053D60">
      <w:pPr>
        <w:pStyle w:val="AOHead4"/>
        <w:tabs>
          <w:tab w:val="left" w:pos="4678"/>
        </w:tabs>
      </w:pPr>
      <w:r w:rsidRPr="0014442C">
        <w:t xml:space="preserve">Portfolio Data: </w:t>
      </w:r>
      <w:r w:rsidRPr="0014442C">
        <w:tab/>
      </w:r>
      <w:r w:rsidR="008E2637">
        <w:t>[     ]</w:t>
      </w:r>
    </w:p>
    <w:p w14:paraId="0A0C12CA" w14:textId="77777777" w:rsidR="00492EEB" w:rsidRPr="00492EEB" w:rsidRDefault="00492EEB" w:rsidP="00492EEB">
      <w:pPr>
        <w:pStyle w:val="AODocTxtL3"/>
        <w:tabs>
          <w:tab w:val="left" w:pos="4680"/>
        </w:tabs>
        <w:spacing w:before="0"/>
        <w:ind w:left="4320"/>
      </w:pPr>
      <w:r>
        <w:tab/>
      </w:r>
    </w:p>
    <w:p w14:paraId="0C3982A3" w14:textId="77777777" w:rsidR="00053D60" w:rsidRPr="0014442C" w:rsidRDefault="00053D60" w:rsidP="0019742C">
      <w:pPr>
        <w:pStyle w:val="AOHead4"/>
        <w:tabs>
          <w:tab w:val="left" w:pos="4678"/>
        </w:tabs>
      </w:pPr>
      <w:r w:rsidRPr="0014442C">
        <w:t xml:space="preserve">Notice of a discrepancy: </w:t>
      </w:r>
      <w:r w:rsidRPr="0014442C">
        <w:tab/>
      </w:r>
      <w:r w:rsidR="008E2637">
        <w:t>[     ]</w:t>
      </w:r>
    </w:p>
    <w:p w14:paraId="155563FC" w14:textId="77777777" w:rsidR="00492EEB" w:rsidRDefault="00053D60" w:rsidP="00492EEB">
      <w:pPr>
        <w:pStyle w:val="AOHead4"/>
        <w:tabs>
          <w:tab w:val="left" w:pos="4678"/>
        </w:tabs>
      </w:pPr>
      <w:r w:rsidRPr="0014442C">
        <w:t>Dispute Notice:</w:t>
      </w:r>
      <w:r w:rsidRPr="0014442C">
        <w:tab/>
      </w:r>
      <w:r w:rsidR="008E2637">
        <w:t>[     ]</w:t>
      </w:r>
    </w:p>
    <w:p w14:paraId="07E979F1" w14:textId="77777777" w:rsidR="00492EEB" w:rsidRPr="00492EEB" w:rsidRDefault="00492EEB" w:rsidP="0019742C">
      <w:pPr>
        <w:pStyle w:val="AOHead4"/>
        <w:numPr>
          <w:ilvl w:val="0"/>
          <w:numId w:val="0"/>
        </w:numPr>
        <w:tabs>
          <w:tab w:val="left" w:pos="4678"/>
        </w:tabs>
        <w:spacing w:before="0"/>
        <w:ind w:left="2160"/>
      </w:pPr>
      <w:r>
        <w:lastRenderedPageBreak/>
        <w:tab/>
      </w:r>
    </w:p>
    <w:p w14:paraId="22F7B94A" w14:textId="77777777" w:rsidR="00E436B8" w:rsidRPr="0014442C" w:rsidRDefault="00E436B8" w:rsidP="00E436B8">
      <w:pPr>
        <w:pStyle w:val="AOHead1"/>
        <w:outlineLvl w:val="1"/>
      </w:pPr>
      <w:r w:rsidRPr="0014442C">
        <w:t xml:space="preserve">Miscellaneous </w:t>
      </w:r>
    </w:p>
    <w:p w14:paraId="148C2234" w14:textId="77777777" w:rsidR="00E436B8" w:rsidRPr="007D436F" w:rsidRDefault="00E436B8" w:rsidP="00E436B8">
      <w:pPr>
        <w:pStyle w:val="AOAltHead2"/>
        <w:keepNext/>
        <w:tabs>
          <w:tab w:val="num" w:pos="720"/>
        </w:tabs>
        <w:rPr>
          <w:b/>
        </w:rPr>
      </w:pPr>
      <w:r>
        <w:rPr>
          <w:b/>
        </w:rPr>
        <w:t>Consideration</w:t>
      </w:r>
    </w:p>
    <w:p w14:paraId="5F08E1F5" w14:textId="77777777" w:rsidR="00E436B8" w:rsidRDefault="00E436B8" w:rsidP="00E436B8">
      <w:pPr>
        <w:pStyle w:val="AODocTxt"/>
        <w:ind w:left="720"/>
      </w:pPr>
      <w:r w:rsidRPr="00695B22">
        <w:t xml:space="preserve">Each </w:t>
      </w:r>
      <w:r>
        <w:t>p</w:t>
      </w:r>
      <w:r w:rsidRPr="00695B22">
        <w:t>arty hereby agrees and acknowledges that it is entering into this Agreement in consideration of the mutual representations, warranties and covenants contained in this Agreement and other good and valuable consideration (the receipt and sufficiency of which are hereby acknowledged by each of the parties).</w:t>
      </w:r>
    </w:p>
    <w:p w14:paraId="72D14F44" w14:textId="77777777" w:rsidR="00E436B8" w:rsidRPr="007D436F" w:rsidRDefault="00E436B8" w:rsidP="00E436B8">
      <w:pPr>
        <w:pStyle w:val="AOAltHead2"/>
        <w:keepNext/>
        <w:tabs>
          <w:tab w:val="num" w:pos="720"/>
        </w:tabs>
        <w:rPr>
          <w:b/>
        </w:rPr>
      </w:pPr>
      <w:r w:rsidRPr="007D436F">
        <w:rPr>
          <w:b/>
        </w:rPr>
        <w:t>Entire Agreement</w:t>
      </w:r>
    </w:p>
    <w:p w14:paraId="62DAC6AE" w14:textId="77777777" w:rsidR="00E436B8" w:rsidRDefault="00E436B8" w:rsidP="00E436B8">
      <w:pPr>
        <w:pStyle w:val="AODocTxt"/>
        <w:ind w:left="720"/>
      </w:pPr>
      <w:r>
        <w:t>This Agreement constitutes the entire agreement and understanding of the parties with respect to its subject matter. Each of the parties acknowledges that in entering into this Agreement it has not relied on any oral or written representation, warranty or other assurance (except as provided for or referred to in this Agreement) and waives all rights and remedies which might otherwise be available to it in respect thereof, except that nothing in this Agreement will limit or exclude any liability of a party for fraud.</w:t>
      </w:r>
    </w:p>
    <w:p w14:paraId="7E04FF76" w14:textId="77777777" w:rsidR="00E436B8" w:rsidRPr="007D436F" w:rsidRDefault="00E436B8" w:rsidP="00E436B8">
      <w:pPr>
        <w:pStyle w:val="AOAltHead2"/>
        <w:keepNext/>
        <w:tabs>
          <w:tab w:val="num" w:pos="720"/>
        </w:tabs>
        <w:rPr>
          <w:b/>
        </w:rPr>
      </w:pPr>
      <w:r w:rsidRPr="007D436F">
        <w:rPr>
          <w:b/>
        </w:rPr>
        <w:t>Amendments</w:t>
      </w:r>
    </w:p>
    <w:p w14:paraId="20C9548B" w14:textId="77777777" w:rsidR="00E436B8" w:rsidRDefault="00E436B8" w:rsidP="00E436B8">
      <w:pPr>
        <w:pStyle w:val="AODocTxt"/>
        <w:ind w:left="720"/>
      </w:pPr>
      <w:r>
        <w:t>An amendment, modification or waiver in respect of this Agreement will only be effective if in writing (including a writing evidenced by a facsimile transmission) and executed by each of the parties or confirmed by an exchange of telexes or by an exchange of electronic messages on an electronic messaging system.</w:t>
      </w:r>
    </w:p>
    <w:p w14:paraId="66BD29F1" w14:textId="77777777" w:rsidR="00E436B8" w:rsidRPr="007D436F" w:rsidRDefault="00E436B8" w:rsidP="00E436B8">
      <w:pPr>
        <w:pStyle w:val="AOAltHead2"/>
        <w:keepNext/>
        <w:tabs>
          <w:tab w:val="num" w:pos="720"/>
        </w:tabs>
        <w:rPr>
          <w:b/>
        </w:rPr>
      </w:pPr>
      <w:r w:rsidRPr="007D436F">
        <w:rPr>
          <w:b/>
        </w:rPr>
        <w:t>Remedies Cumulative</w:t>
      </w:r>
    </w:p>
    <w:p w14:paraId="01FEED67" w14:textId="77777777" w:rsidR="00E436B8" w:rsidRDefault="00E436B8" w:rsidP="00E436B8">
      <w:pPr>
        <w:pStyle w:val="AODocTxt"/>
        <w:ind w:left="720"/>
      </w:pPr>
      <w:r>
        <w:t>Except as provided in this Agreement, the rights, powers, remedies and privileges provided in this Agreement are cumulative and not exclusive of any rights, powers, remedies and privileges provided by law.</w:t>
      </w:r>
    </w:p>
    <w:p w14:paraId="2BE63CA5" w14:textId="77777777" w:rsidR="00E436B8" w:rsidRPr="007D436F" w:rsidRDefault="00E436B8" w:rsidP="00E436B8">
      <w:pPr>
        <w:pStyle w:val="AOAltHead2"/>
        <w:keepNext/>
        <w:tabs>
          <w:tab w:val="num" w:pos="720"/>
        </w:tabs>
        <w:rPr>
          <w:b/>
        </w:rPr>
      </w:pPr>
      <w:r>
        <w:rPr>
          <w:b/>
        </w:rPr>
        <w:t>Counterparts</w:t>
      </w:r>
    </w:p>
    <w:p w14:paraId="3AB15093" w14:textId="77777777" w:rsidR="00E436B8" w:rsidRDefault="00E436B8" w:rsidP="00E436B8">
      <w:pPr>
        <w:pStyle w:val="AODocTxt"/>
        <w:ind w:left="720"/>
      </w:pPr>
      <w:r>
        <w:t>This Agreement (and each amendment, modification and waiver in respect of it) may be executed and delivered in counterparts (including by facsimile transmission and by electronic messaging system), each of which will be deemed an original.</w:t>
      </w:r>
    </w:p>
    <w:p w14:paraId="3F6CDE96" w14:textId="77777777" w:rsidR="00E436B8" w:rsidRPr="007D436F" w:rsidRDefault="00E436B8" w:rsidP="00E436B8">
      <w:pPr>
        <w:pStyle w:val="AOAltHead2"/>
        <w:keepNext/>
        <w:tabs>
          <w:tab w:val="num" w:pos="720"/>
        </w:tabs>
        <w:rPr>
          <w:b/>
        </w:rPr>
      </w:pPr>
      <w:r w:rsidRPr="007D436F">
        <w:rPr>
          <w:b/>
        </w:rPr>
        <w:t>No Waiver of Rights</w:t>
      </w:r>
    </w:p>
    <w:p w14:paraId="4EA3E966" w14:textId="77777777" w:rsidR="00E436B8" w:rsidRDefault="00E436B8" w:rsidP="00E436B8">
      <w:pPr>
        <w:pStyle w:val="AODocTxt"/>
        <w:ind w:left="720"/>
      </w:pPr>
      <w:r>
        <w:t>A failure or delay in exercising any right, power or privilege in respect of this Agreement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14:paraId="61A3B96F" w14:textId="77777777" w:rsidR="00E436B8" w:rsidRDefault="00E436B8" w:rsidP="00E436B8">
      <w:pPr>
        <w:pStyle w:val="AOHead1"/>
      </w:pPr>
      <w:bookmarkStart w:id="18" w:name="_Toc362963542"/>
      <w:bookmarkStart w:id="19" w:name="_GoBack"/>
      <w:bookmarkEnd w:id="19"/>
      <w:r w:rsidRPr="007D436F">
        <w:t>Governing Law and Jurisdiction</w:t>
      </w:r>
      <w:bookmarkEnd w:id="18"/>
    </w:p>
    <w:p w14:paraId="610DCB29" w14:textId="77777777" w:rsidR="00E436B8" w:rsidRPr="007D436F" w:rsidRDefault="00E436B8" w:rsidP="00E436B8">
      <w:pPr>
        <w:pStyle w:val="AOHead2"/>
      </w:pPr>
      <w:r w:rsidRPr="007D436F">
        <w:t>Governing Law</w:t>
      </w:r>
    </w:p>
    <w:p w14:paraId="6937DD0D" w14:textId="77777777" w:rsidR="00E436B8" w:rsidRPr="007D436F" w:rsidRDefault="00F10EA0" w:rsidP="00E436B8">
      <w:pPr>
        <w:pStyle w:val="AODocTxt"/>
        <w:ind w:left="720"/>
      </w:pPr>
      <w:r w:rsidRPr="007D436F">
        <w:t xml:space="preserve">This Agreement and any non-contractual obligations arising out of or in connection with it are governed by </w:t>
      </w:r>
      <w:r w:rsidRPr="00CD11C7">
        <w:t xml:space="preserve">the laws </w:t>
      </w:r>
      <w:r w:rsidR="00EB0A54">
        <w:t>[     ]</w:t>
      </w:r>
      <w:r w:rsidR="00EB0A54" w:rsidRPr="00CD11C7">
        <w:t xml:space="preserve"> </w:t>
      </w:r>
      <w:r w:rsidRPr="00CD11C7">
        <w:t>(without reference to choice of law doctrine)</w:t>
      </w:r>
      <w:r>
        <w:t>.</w:t>
      </w:r>
    </w:p>
    <w:p w14:paraId="1F2830EA" w14:textId="77777777" w:rsidR="00E436B8" w:rsidRPr="007D436F" w:rsidRDefault="00E436B8" w:rsidP="00E436B8">
      <w:pPr>
        <w:pStyle w:val="AOHead2"/>
      </w:pPr>
      <w:bookmarkStart w:id="20" w:name="_Ref363135202"/>
      <w:r>
        <w:lastRenderedPageBreak/>
        <w:t>Jurisdiction</w:t>
      </w:r>
    </w:p>
    <w:p w14:paraId="63E937C7" w14:textId="77777777" w:rsidR="00E436B8" w:rsidRPr="00BE3FB2" w:rsidRDefault="00E436B8" w:rsidP="00E436B8">
      <w:pPr>
        <w:pStyle w:val="AODocTxtL1"/>
      </w:pPr>
      <w:r>
        <w:t xml:space="preserve">With respect to any suit, action or proceedings relating to any </w:t>
      </w:r>
      <w:r w:rsidRPr="004B75C8">
        <w:t xml:space="preserve">dispute arising out of, relating to or </w:t>
      </w:r>
      <w:r w:rsidRPr="00BE3FB2">
        <w:t>having any connection with this Agreement including any dispute relating to any non-contractual obligations arising out of or in connection with it</w:t>
      </w:r>
      <w:r w:rsidR="00A6264B" w:rsidRPr="00BE3FB2">
        <w:t xml:space="preserve"> (</w:t>
      </w:r>
      <w:r w:rsidRPr="00BE3FB2">
        <w:rPr>
          <w:b/>
        </w:rPr>
        <w:t>Proceedings</w:t>
      </w:r>
      <w:r w:rsidRPr="00BE3FB2">
        <w:t>), each party irrevocably:</w:t>
      </w:r>
    </w:p>
    <w:p w14:paraId="050DC508" w14:textId="77777777" w:rsidR="00E436B8" w:rsidRPr="00BE3FB2" w:rsidRDefault="00E436B8" w:rsidP="00CD11C7">
      <w:pPr>
        <w:pStyle w:val="AOHead3"/>
      </w:pPr>
      <w:r w:rsidRPr="00BE3FB2">
        <w:t xml:space="preserve">submits to the </w:t>
      </w:r>
      <w:r w:rsidR="00CD11C7" w:rsidRPr="00BE3FB2">
        <w:t xml:space="preserve">non-exclusive jurisdiction of the courts of the </w:t>
      </w:r>
      <w:r w:rsidR="00BE3FB2" w:rsidRPr="00BE3FB2">
        <w:t>[     ]</w:t>
      </w:r>
      <w:r w:rsidRPr="00BE3FB2">
        <w:t xml:space="preserve">; </w:t>
      </w:r>
    </w:p>
    <w:p w14:paraId="7C4C816B" w14:textId="77777777" w:rsidR="00E436B8" w:rsidRDefault="00E436B8" w:rsidP="00E436B8">
      <w:pPr>
        <w:pStyle w:val="AOHead3"/>
      </w:pPr>
      <w:r w:rsidRPr="00BE3FB2">
        <w:t>waives any objection which it may have at any time to the laying of venue of any Proceedings brought in any such court, waives any claim that such Proceedings have been brought in an incon</w:t>
      </w:r>
      <w:r>
        <w:t>venient forum and further waives the right to object, with respect to such Proceedings, that such court does not have any jurisdiction over such party; and</w:t>
      </w:r>
    </w:p>
    <w:p w14:paraId="1E0DEAF2" w14:textId="77777777" w:rsidR="00E436B8" w:rsidRDefault="00E436B8" w:rsidP="00E436B8">
      <w:pPr>
        <w:pStyle w:val="AOHead3"/>
      </w:pPr>
      <w:r>
        <w:t>agrees, to the extent permitted by applicable law, that the bringing of Proceedings in any one or more jurisdictions will not preclude the bringing of Proceedings in any other jurisdiction.</w:t>
      </w:r>
    </w:p>
    <w:bookmarkEnd w:id="20"/>
    <w:p w14:paraId="16FB102C" w14:textId="77777777" w:rsidR="00E436B8" w:rsidRPr="007D436F" w:rsidRDefault="00E436B8" w:rsidP="00E436B8">
      <w:pPr>
        <w:pStyle w:val="AOHead2"/>
      </w:pPr>
      <w:r w:rsidRPr="007D436F">
        <w:t>Service of Process</w:t>
      </w:r>
    </w:p>
    <w:p w14:paraId="38A81BB0" w14:textId="77777777" w:rsidR="00E436B8" w:rsidRDefault="00E436B8" w:rsidP="00E436B8">
      <w:pPr>
        <w:pStyle w:val="AODocTxt"/>
        <w:ind w:left="720"/>
      </w:pPr>
      <w:r w:rsidRPr="004B75C8">
        <w:t xml:space="preserve">Each party irrevocably appoints the Process Agent, if any, specified </w:t>
      </w:r>
      <w:r>
        <w:t xml:space="preserve">in respect of it below </w:t>
      </w:r>
      <w:r w:rsidRPr="004B75C8">
        <w:t>to receive, for it and on its behalf, service of process in any Proceedings. If for any reason any</w:t>
      </w:r>
      <w:r>
        <w:t xml:space="preserve"> </w:t>
      </w:r>
      <w:r w:rsidRPr="004B75C8">
        <w:t>party’s Process Agent is unable to act as such, such party will</w:t>
      </w:r>
      <w:r>
        <w:t xml:space="preserve"> promptly notify the other parties</w:t>
      </w:r>
      <w:r w:rsidRPr="004B75C8">
        <w:t xml:space="preserve"> and within 30 days</w:t>
      </w:r>
      <w:r>
        <w:t xml:space="preserve"> </w:t>
      </w:r>
      <w:r w:rsidRPr="004B75C8">
        <w:t>appoint a substitute process age</w:t>
      </w:r>
      <w:r>
        <w:t>nt acceptable to the other parties</w:t>
      </w:r>
      <w:r w:rsidRPr="004B75C8">
        <w:t>. The parties irrevocably consent to service of process</w:t>
      </w:r>
      <w:r>
        <w:t xml:space="preserve"> </w:t>
      </w:r>
      <w:r w:rsidRPr="004B75C8">
        <w:t xml:space="preserve">given in the manner provided for notices in </w:t>
      </w:r>
      <w:r w:rsidR="00B8170A">
        <w:t xml:space="preserve">Clause </w:t>
      </w:r>
      <w:r w:rsidR="00877071">
        <w:fldChar w:fldCharType="begin"/>
      </w:r>
      <w:r w:rsidR="00B8170A">
        <w:instrText xml:space="preserve"> REF _Ref366154021 \r \h </w:instrText>
      </w:r>
      <w:r w:rsidR="00877071">
        <w:fldChar w:fldCharType="separate"/>
      </w:r>
      <w:r w:rsidR="008B61AC">
        <w:t>7</w:t>
      </w:r>
      <w:r w:rsidR="00877071">
        <w:fldChar w:fldCharType="end"/>
      </w:r>
      <w:r>
        <w:t xml:space="preserve">. </w:t>
      </w:r>
      <w:r w:rsidRPr="007D436F">
        <w:t xml:space="preserve">Nothing in this Agreement will affect the right of </w:t>
      </w:r>
      <w:r>
        <w:t>a</w:t>
      </w:r>
      <w:r w:rsidRPr="007D436F">
        <w:t xml:space="preserve"> party to serve process in any other manner permitted by applicable law.</w:t>
      </w:r>
    </w:p>
    <w:p w14:paraId="243AEF27" w14:textId="77777777" w:rsidR="00F10EA0" w:rsidRDefault="00F10EA0" w:rsidP="00F10EA0">
      <w:pPr>
        <w:pStyle w:val="AOHead3"/>
      </w:pPr>
      <w:r>
        <w:t xml:space="preserve">Process Agent In respect of </w:t>
      </w:r>
      <w:r w:rsidR="00EB0A54">
        <w:t>[     ]</w:t>
      </w:r>
      <w:r>
        <w:t xml:space="preserve">: </w:t>
      </w:r>
      <w:r w:rsidR="00EB0A54">
        <w:t>[     ]</w:t>
      </w:r>
      <w:r>
        <w:t>.</w:t>
      </w:r>
    </w:p>
    <w:p w14:paraId="03F57833" w14:textId="77777777" w:rsidR="00E436B8" w:rsidRPr="0099378A" w:rsidRDefault="00E436B8" w:rsidP="00E436B8">
      <w:pPr>
        <w:pStyle w:val="AOHead3"/>
      </w:pPr>
      <w:r w:rsidRPr="0099378A">
        <w:t>Process Age</w:t>
      </w:r>
      <w:r w:rsidR="0099378A" w:rsidRPr="0099378A">
        <w:t>nt in respect of Counterparty: Not applicable.</w:t>
      </w:r>
    </w:p>
    <w:p w14:paraId="0CA4EB70" w14:textId="77777777" w:rsidR="00C65598" w:rsidRDefault="00C65598" w:rsidP="00C65598">
      <w:pPr>
        <w:pStyle w:val="AOHead1"/>
      </w:pPr>
      <w:r>
        <w:t>INTERPRETATION</w:t>
      </w:r>
    </w:p>
    <w:p w14:paraId="2DE8E175" w14:textId="77777777" w:rsidR="00C65598" w:rsidRDefault="00C65598" w:rsidP="00C65598">
      <w:pPr>
        <w:pStyle w:val="AOHead2"/>
      </w:pPr>
      <w:r>
        <w:t>Definitions</w:t>
      </w:r>
    </w:p>
    <w:p w14:paraId="5A1E2111" w14:textId="77777777" w:rsidR="00C65598" w:rsidRDefault="00C65598" w:rsidP="00C65598">
      <w:pPr>
        <w:pStyle w:val="AOHead3"/>
      </w:pPr>
      <w:r>
        <w:t>In this Agreement:</w:t>
      </w:r>
    </w:p>
    <w:p w14:paraId="50E761AA" w14:textId="77777777" w:rsidR="00C65598" w:rsidRPr="00E436B8" w:rsidRDefault="00F24F01" w:rsidP="00115A54">
      <w:pPr>
        <w:pStyle w:val="AODocTxt"/>
        <w:ind w:left="1418"/>
      </w:pPr>
      <w:r>
        <w:rPr>
          <w:b/>
        </w:rPr>
        <w:t>A</w:t>
      </w:r>
      <w:r w:rsidR="00C65598" w:rsidRPr="00E436B8">
        <w:rPr>
          <w:b/>
        </w:rPr>
        <w:t xml:space="preserve">gent </w:t>
      </w:r>
      <w:r w:rsidR="00C65598" w:rsidRPr="00E436B8">
        <w:t>means an entity appointed to act solely on the appointing party’s behalf to deal with the other party in relation to all or part of the actions under the relevant provision.</w:t>
      </w:r>
    </w:p>
    <w:p w14:paraId="579AA474" w14:textId="77777777" w:rsidR="00C65598" w:rsidRPr="00E436B8" w:rsidRDefault="00C65598" w:rsidP="00115A54">
      <w:pPr>
        <w:pStyle w:val="AODocTxt"/>
        <w:ind w:left="1418"/>
      </w:pPr>
      <w:r w:rsidRPr="00E436B8">
        <w:rPr>
          <w:b/>
        </w:rPr>
        <w:t xml:space="preserve">Affiliate </w:t>
      </w:r>
      <w:r w:rsidRPr="00E436B8">
        <w:t xml:space="preserve">means, in relation to any person, any entity controlled, directly or indirectly, by the person, any entity that controls, directly or indirectly, the person or any entity directly or indirectly under common control with the person. For this purpose, </w:t>
      </w:r>
      <w:r>
        <w:t>"</w:t>
      </w:r>
      <w:r w:rsidRPr="00E436B8">
        <w:t>control</w:t>
      </w:r>
      <w:r>
        <w:t>"</w:t>
      </w:r>
      <w:r w:rsidRPr="00E436B8">
        <w:t xml:space="preserve"> of any entity or person means ownership of a majority of the voting power of the entity or person.</w:t>
      </w:r>
    </w:p>
    <w:p w14:paraId="62A3CCFB" w14:textId="77777777" w:rsidR="00C65598" w:rsidRPr="00E436B8" w:rsidRDefault="00C65598" w:rsidP="00115A54">
      <w:pPr>
        <w:pStyle w:val="AODocTxt"/>
        <w:ind w:left="1418"/>
      </w:pPr>
      <w:r w:rsidRPr="00E436B8">
        <w:rPr>
          <w:b/>
        </w:rPr>
        <w:t xml:space="preserve">Agreed Process </w:t>
      </w:r>
      <w:r w:rsidRPr="00E436B8">
        <w:t>means any process agreed between the parties in respect of a Dispute other than the Dispute Resolution Procedure including, without limitation</w:t>
      </w:r>
      <w:r w:rsidR="00115A54">
        <w:t xml:space="preserve"> and in each case if applicable</w:t>
      </w:r>
      <w:r w:rsidRPr="00E436B8">
        <w:t>, the process</w:t>
      </w:r>
      <w:r w:rsidR="00115A54">
        <w:t xml:space="preserve"> </w:t>
      </w:r>
      <w:r w:rsidRPr="00E436B8">
        <w:t xml:space="preserve">in (a) Section 13 of </w:t>
      </w:r>
      <w:r>
        <w:t xml:space="preserve">any </w:t>
      </w:r>
      <w:r w:rsidRPr="00E436B8">
        <w:t xml:space="preserve">ISDA Master Agreement </w:t>
      </w:r>
      <w:r>
        <w:t>between the parties</w:t>
      </w:r>
      <w:r w:rsidRPr="00E436B8">
        <w:t xml:space="preserve"> (b) Paragraph 4 of </w:t>
      </w:r>
      <w:r>
        <w:t xml:space="preserve">any </w:t>
      </w:r>
      <w:r w:rsidRPr="00E436B8">
        <w:t xml:space="preserve">ISDA Credit Support Annex (Bilateral Form – Transfer) </w:t>
      </w:r>
      <w:r w:rsidRPr="006452E7">
        <w:t xml:space="preserve">between the parties </w:t>
      </w:r>
      <w:r w:rsidRPr="00E436B8">
        <w:t xml:space="preserve">(c) Paragraph 5 of </w:t>
      </w:r>
      <w:r>
        <w:t xml:space="preserve">any </w:t>
      </w:r>
      <w:r w:rsidRPr="00E436B8">
        <w:t xml:space="preserve">ISDA Credit Support Deed (Bilateral Form – Security Interest) </w:t>
      </w:r>
      <w:r w:rsidRPr="005009CE">
        <w:t xml:space="preserve">between the parties </w:t>
      </w:r>
      <w:r>
        <w:t>(d) Paragraph 5 of any</w:t>
      </w:r>
      <w:r w:rsidRPr="00E436B8">
        <w:t xml:space="preserve"> ISDA Credit Support Annex (Bilateral Form)</w:t>
      </w:r>
      <w:r>
        <w:t xml:space="preserve"> </w:t>
      </w:r>
      <w:r w:rsidRPr="005009CE">
        <w:t>between the parties</w:t>
      </w:r>
      <w:r>
        <w:t xml:space="preserve"> or (e) any provision equivalent or similar to those listed at (a) to (d).</w:t>
      </w:r>
    </w:p>
    <w:p w14:paraId="40FBA707" w14:textId="77777777" w:rsidR="00C65598" w:rsidRPr="005009CE" w:rsidRDefault="00C65598" w:rsidP="00115A54">
      <w:pPr>
        <w:pStyle w:val="AODocTxt"/>
        <w:ind w:left="1418"/>
      </w:pPr>
      <w:r w:rsidRPr="005009CE">
        <w:rPr>
          <w:b/>
        </w:rPr>
        <w:t xml:space="preserve">Data Delivery Date </w:t>
      </w:r>
      <w:r w:rsidRPr="005009CE">
        <w:t>means each date agreed as such between the parties provided that, in the absence of such agreement, the Data Delivery Date will be the Joint Business Day immediately prior to the PR Due Date.</w:t>
      </w:r>
    </w:p>
    <w:p w14:paraId="11439C53" w14:textId="77777777" w:rsidR="00C65598" w:rsidRPr="005009CE" w:rsidRDefault="00C65598" w:rsidP="00115A54">
      <w:pPr>
        <w:pStyle w:val="AODocTxt"/>
        <w:ind w:left="1418"/>
      </w:pPr>
      <w:r>
        <w:rPr>
          <w:b/>
        </w:rPr>
        <w:lastRenderedPageBreak/>
        <w:t>Data Reconciliation</w:t>
      </w:r>
      <w:r w:rsidRPr="005009CE">
        <w:rPr>
          <w:b/>
        </w:rPr>
        <w:t xml:space="preserve"> </w:t>
      </w:r>
      <w:r w:rsidRPr="005009CE">
        <w:t>means, in respect of a party receiving Portfolio Data, a comparison of the Portfolio Data provided by the other party against such party’s own books and records of all outstanding Relevant Transactions between the parties in order to identify promptly any misunderstandings of Key Terms.</w:t>
      </w:r>
    </w:p>
    <w:p w14:paraId="69D0DB64" w14:textId="77777777" w:rsidR="00C65598" w:rsidRPr="005009CE" w:rsidRDefault="00C65598" w:rsidP="00115A54">
      <w:pPr>
        <w:pStyle w:val="AODocTxt"/>
        <w:ind w:left="1418"/>
      </w:pPr>
      <w:r w:rsidRPr="005009CE">
        <w:rPr>
          <w:b/>
        </w:rPr>
        <w:t xml:space="preserve">Dispute </w:t>
      </w:r>
      <w:r w:rsidRPr="005009CE">
        <w:t>means any dispute between the parties (a) which, in the sole opinion of the party delivering the relevant Dispute Notice, is required to be subject to the Dispute Resolution Procedure (or other Agreed Process) pursuant to the Dispute Resolution Risk Mitigation Techniques; and (b) in respect of which a Dispute Notice has been effectively delivered.</w:t>
      </w:r>
    </w:p>
    <w:p w14:paraId="0C7D70DC" w14:textId="77777777" w:rsidR="00C65598" w:rsidRPr="005009CE" w:rsidRDefault="00C65598" w:rsidP="00115A54">
      <w:pPr>
        <w:pStyle w:val="AODocTxt"/>
        <w:ind w:left="1418"/>
      </w:pPr>
      <w:r w:rsidRPr="005009CE">
        <w:rPr>
          <w:b/>
        </w:rPr>
        <w:t xml:space="preserve">Dispute Date </w:t>
      </w:r>
      <w:r w:rsidRPr="005009CE">
        <w:t xml:space="preserve">means, with respect to a Dispute, the date on which a Dispute Notice is effectively delivered by one party to the other party save that if, with respect to a Dispute, both parties deliver a Dispute Notice, the date on which the first in time of such notices is effectively delivered will be the Dispute Date. Each Dispute Notice will be effectively delivered if delivered in the manner agreed between the parties for the giving of notices in respect of this Agreement. </w:t>
      </w:r>
    </w:p>
    <w:p w14:paraId="435F601E" w14:textId="77777777" w:rsidR="00C65598" w:rsidRPr="005009CE" w:rsidRDefault="00C65598" w:rsidP="00115A54">
      <w:pPr>
        <w:pStyle w:val="AODocTxt"/>
        <w:ind w:left="1418"/>
      </w:pPr>
      <w:r w:rsidRPr="005009CE">
        <w:rPr>
          <w:b/>
        </w:rPr>
        <w:t xml:space="preserve">Dispute Notice" </w:t>
      </w:r>
      <w:r w:rsidRPr="005009CE">
        <w:t xml:space="preserve">means a notice in writing which states that it is a dispute notice for the purposes of </w:t>
      </w:r>
      <w:r>
        <w:t xml:space="preserve">Clause </w:t>
      </w:r>
      <w:r w:rsidR="00877071">
        <w:fldChar w:fldCharType="begin"/>
      </w:r>
      <w:r>
        <w:instrText xml:space="preserve"> REF _Ref366144595 \r \h </w:instrText>
      </w:r>
      <w:r w:rsidR="00877071">
        <w:fldChar w:fldCharType="separate"/>
      </w:r>
      <w:r w:rsidR="008B61AC">
        <w:t>2.1</w:t>
      </w:r>
      <w:r w:rsidR="00877071">
        <w:fldChar w:fldCharType="end"/>
      </w:r>
      <w:r>
        <w:t xml:space="preserve"> </w:t>
      </w:r>
      <w:r w:rsidRPr="005009CE">
        <w:t xml:space="preserve">and which sets out in reasonable detail the issue in dispute (including, without limitation, the Relevant Transaction(s) to which the issue relates). </w:t>
      </w:r>
    </w:p>
    <w:p w14:paraId="3CF74194" w14:textId="77777777" w:rsidR="00C65598" w:rsidRPr="005009CE" w:rsidRDefault="00C65598" w:rsidP="00115A54">
      <w:pPr>
        <w:pStyle w:val="AODocTxt"/>
        <w:ind w:left="1418"/>
      </w:pPr>
      <w:r w:rsidRPr="005009CE">
        <w:rPr>
          <w:b/>
        </w:rPr>
        <w:t xml:space="preserve">Dispute Resolution Procedure </w:t>
      </w:r>
      <w:r w:rsidRPr="005009CE">
        <w:t xml:space="preserve">means the identification and resolution procedure set out in </w:t>
      </w:r>
      <w:r>
        <w:t>Clause</w:t>
      </w:r>
      <w:r w:rsidRPr="005009CE">
        <w:t xml:space="preserve"> </w:t>
      </w:r>
      <w:r w:rsidR="00877071" w:rsidRPr="005009CE">
        <w:fldChar w:fldCharType="begin"/>
      </w:r>
      <w:r w:rsidRPr="005009CE">
        <w:instrText xml:space="preserve"> REF _Ref366144595 \r \h </w:instrText>
      </w:r>
      <w:r w:rsidR="00877071" w:rsidRPr="005009CE">
        <w:fldChar w:fldCharType="separate"/>
      </w:r>
      <w:r w:rsidR="008B61AC">
        <w:t>2.1</w:t>
      </w:r>
      <w:r w:rsidR="00877071" w:rsidRPr="005009CE">
        <w:fldChar w:fldCharType="end"/>
      </w:r>
      <w:r w:rsidRPr="005009CE">
        <w:t>.</w:t>
      </w:r>
    </w:p>
    <w:p w14:paraId="749BAD12" w14:textId="77777777" w:rsidR="00C65598" w:rsidRDefault="00C65598" w:rsidP="00115A54">
      <w:pPr>
        <w:pStyle w:val="AODocTxt"/>
        <w:ind w:left="1418"/>
      </w:pPr>
      <w:r w:rsidRPr="005009CE">
        <w:rPr>
          <w:b/>
        </w:rPr>
        <w:t xml:space="preserve">Dispute Resolution Risk Mitigation Techniques </w:t>
      </w:r>
      <w:r w:rsidRPr="005009CE">
        <w:t>means the dispute resolution risk mitigation techniques for OTC derivative transactions set out in Article 11(1)(b) of EMIR as supplemented by Article 15 of Chapter VIII of the Commission Delegated Regulation (EU) No 149/2013 of 19 December 2012 and published on 23 February 2013 in the Official Journal of the European Union.</w:t>
      </w:r>
    </w:p>
    <w:p w14:paraId="134B715F" w14:textId="77777777" w:rsidR="00C65598" w:rsidRPr="005009CE" w:rsidRDefault="00C65598" w:rsidP="00115A54">
      <w:pPr>
        <w:pStyle w:val="AODocTxt"/>
        <w:ind w:left="1418"/>
      </w:pPr>
      <w:r w:rsidRPr="005009CE">
        <w:rPr>
          <w:b/>
        </w:rPr>
        <w:t xml:space="preserve">EMIR </w:t>
      </w:r>
      <w:r w:rsidRPr="005009CE">
        <w:t>means Regulation (EU) No 648/2012 of the European Parliament and of the Council on OTC derivatives, central counterparties and trade repositories dated 4 July 2012.</w:t>
      </w:r>
    </w:p>
    <w:p w14:paraId="5048F74B" w14:textId="77777777" w:rsidR="00C65598" w:rsidRDefault="00C65598" w:rsidP="00115A54">
      <w:pPr>
        <w:pStyle w:val="AODocTxt"/>
        <w:ind w:left="1418"/>
      </w:pPr>
      <w:r>
        <w:rPr>
          <w:b/>
        </w:rPr>
        <w:t>European Union</w:t>
      </w:r>
      <w:r w:rsidRPr="005009CE">
        <w:rPr>
          <w:b/>
        </w:rPr>
        <w:t xml:space="preserve"> </w:t>
      </w:r>
      <w:r w:rsidRPr="005009CE">
        <w:t>means the economic and political union established in 1993 by the Maastricht Treaty, with the aim of achieving closer economic and political union between member states that are primarily located in Europe.</w:t>
      </w:r>
    </w:p>
    <w:p w14:paraId="1A43D16A" w14:textId="77777777" w:rsidR="00C65598" w:rsidRDefault="00C65598" w:rsidP="00115A54">
      <w:pPr>
        <w:pStyle w:val="AODocTxt"/>
        <w:ind w:left="1418"/>
      </w:pPr>
      <w:r w:rsidRPr="005009CE">
        <w:rPr>
          <w:b/>
        </w:rPr>
        <w:t>Joint Business Day</w:t>
      </w:r>
      <w:r>
        <w:t xml:space="preserve"> means a day that is a Local Business Day in respect of each party.</w:t>
      </w:r>
    </w:p>
    <w:p w14:paraId="36C588D4" w14:textId="77777777" w:rsidR="00C65598" w:rsidRDefault="00C65598" w:rsidP="00115A54">
      <w:pPr>
        <w:pStyle w:val="AODocTxt"/>
        <w:ind w:left="1418"/>
      </w:pPr>
      <w:r w:rsidRPr="005009CE">
        <w:rPr>
          <w:b/>
        </w:rPr>
        <w:t>Key Terms</w:t>
      </w:r>
      <w:r>
        <w:t xml:space="preserve"> means, with respect to a Relevant Transaction and a party, the valuation of such Relevant Transaction and such other details the relevant party deems relevant from time to time which may include the effective date, the scheduled maturity date, any payment or settlement dates, the notional value of the contract and currency of the Relevant Transaction, the underlying instrument, the position of the counterparties, the business day convention and any relevant fixed or floating rates of the Relevant Transaction. For the avoidance of doubt, "Key Terms" does not include details of the calculations or methodologies underlying any term.</w:t>
      </w:r>
    </w:p>
    <w:p w14:paraId="531F0521" w14:textId="77777777" w:rsidR="006D2482" w:rsidRDefault="006D2482" w:rsidP="00115A54">
      <w:pPr>
        <w:pStyle w:val="AODocTxt"/>
        <w:ind w:left="1418"/>
        <w:rPr>
          <w:b/>
        </w:rPr>
      </w:pPr>
      <w:r>
        <w:rPr>
          <w:b/>
        </w:rPr>
        <w:t>Local</w:t>
      </w:r>
      <w:r w:rsidRPr="006D2482">
        <w:rPr>
          <w:b/>
        </w:rPr>
        <w:t xml:space="preserve"> Business Day </w:t>
      </w:r>
      <w:r w:rsidRPr="006D2482">
        <w:t>means</w:t>
      </w:r>
      <w:r>
        <w:t xml:space="preserve"> (a) in respect of </w:t>
      </w:r>
      <w:r w:rsidR="0027242E">
        <w:t>[     ]</w:t>
      </w:r>
      <w:r>
        <w:t xml:space="preserve">, </w:t>
      </w:r>
      <w:r w:rsidR="0027242E">
        <w:t xml:space="preserve">[     ] </w:t>
      </w:r>
      <w:r>
        <w:t xml:space="preserve">and (b) in respect of Counterparty, </w:t>
      </w:r>
      <w:r w:rsidR="0027242E">
        <w:t>[     ]</w:t>
      </w:r>
      <w:r w:rsidR="00F10EA0">
        <w:t>.</w:t>
      </w:r>
    </w:p>
    <w:p w14:paraId="6814B434" w14:textId="77777777" w:rsidR="00C65598" w:rsidRDefault="00C65598" w:rsidP="00115A54">
      <w:pPr>
        <w:pStyle w:val="AODocTxt"/>
        <w:ind w:left="1418"/>
      </w:pPr>
      <w:r w:rsidRPr="005009CE">
        <w:rPr>
          <w:b/>
        </w:rPr>
        <w:t>Portfolio Data</w:t>
      </w:r>
      <w:r>
        <w:t xml:space="preserve"> means, in respect of a party providing or required to provide such data, the Key Terms in relation to all outstanding Relevant Transactions between the parties in a form and standard that is capable of being reconciled, with a scope and level of detail that would be </w:t>
      </w:r>
      <w:r>
        <w:lastRenderedPageBreak/>
        <w:t>reasonable to the Portfolio Data Sending Entity if it were the receiving party. Unless otherwise agreed between the parties, the information comprising the Portfolio Data to be provided by a party on a Data Delivery Date will be prepared as at the close of business on the immediately preceding Local Business Day of, and as specified in writing by, the party providing the Portfolio Data.</w:t>
      </w:r>
    </w:p>
    <w:p w14:paraId="7D521A56" w14:textId="77777777" w:rsidR="00C65598" w:rsidRDefault="00C65598" w:rsidP="00115A54">
      <w:pPr>
        <w:pStyle w:val="AODocTxt"/>
        <w:ind w:left="1418"/>
      </w:pPr>
      <w:r w:rsidRPr="005009CE">
        <w:rPr>
          <w:b/>
        </w:rPr>
        <w:t>Portfolio Data Receiving Entity</w:t>
      </w:r>
      <w:r w:rsidR="00F10EA0">
        <w:t xml:space="preserve"> means </w:t>
      </w:r>
      <w:r w:rsidR="00115A54">
        <w:t>Counterparty</w:t>
      </w:r>
      <w:r>
        <w:t xml:space="preserve">, subject to Clause </w:t>
      </w:r>
      <w:r w:rsidR="00877071">
        <w:fldChar w:fldCharType="begin"/>
      </w:r>
      <w:r w:rsidR="006D2482">
        <w:instrText xml:space="preserve"> REF _Ref366154698 \w \h </w:instrText>
      </w:r>
      <w:r w:rsidR="00877071">
        <w:fldChar w:fldCharType="separate"/>
      </w:r>
      <w:r w:rsidR="008B61AC">
        <w:t>1.2(a)</w:t>
      </w:r>
      <w:r w:rsidR="00877071">
        <w:fldChar w:fldCharType="end"/>
      </w:r>
      <w:r>
        <w:t>.</w:t>
      </w:r>
    </w:p>
    <w:p w14:paraId="51C94137" w14:textId="77777777" w:rsidR="00C65598" w:rsidRDefault="00C65598" w:rsidP="00115A54">
      <w:pPr>
        <w:pStyle w:val="AODocTxt"/>
        <w:ind w:left="1418"/>
      </w:pPr>
      <w:r w:rsidRPr="005009CE">
        <w:rPr>
          <w:b/>
        </w:rPr>
        <w:t>Portfolio Data Sending Entity</w:t>
      </w:r>
      <w:r w:rsidR="00F10EA0">
        <w:t xml:space="preserve"> means </w:t>
      </w:r>
      <w:r w:rsidR="0027242E">
        <w:t>[     ]</w:t>
      </w:r>
      <w:r w:rsidR="00F10EA0">
        <w:t xml:space="preserve"> </w:t>
      </w:r>
      <w:r>
        <w:t xml:space="preserve">each of </w:t>
      </w:r>
      <w:r w:rsidR="0027242E">
        <w:t>[     ]</w:t>
      </w:r>
      <w:r>
        <w:t xml:space="preserve">, subject to </w:t>
      </w:r>
      <w:r w:rsidRPr="005009CE">
        <w:t xml:space="preserve">Clause </w:t>
      </w:r>
      <w:r w:rsidR="00877071" w:rsidRPr="006D2482">
        <w:fldChar w:fldCharType="begin"/>
      </w:r>
      <w:r w:rsidR="006D2482" w:rsidRPr="006D2482">
        <w:instrText xml:space="preserve"> REF _Ref366154698 \w \h </w:instrText>
      </w:r>
      <w:r w:rsidR="00877071" w:rsidRPr="006D2482">
        <w:fldChar w:fldCharType="separate"/>
      </w:r>
      <w:r w:rsidR="008B61AC">
        <w:t>1.2(a)</w:t>
      </w:r>
      <w:r w:rsidR="00877071" w:rsidRPr="006D2482">
        <w:fldChar w:fldCharType="end"/>
      </w:r>
      <w:r>
        <w:t>.</w:t>
      </w:r>
    </w:p>
    <w:p w14:paraId="30D7AB14" w14:textId="77777777" w:rsidR="00C65598" w:rsidRDefault="00C65598" w:rsidP="00115A54">
      <w:pPr>
        <w:pStyle w:val="AODocTxt"/>
        <w:ind w:left="1418"/>
      </w:pPr>
      <w:r w:rsidRPr="00893055">
        <w:rPr>
          <w:b/>
        </w:rPr>
        <w:t>Portfolio Reconciliation Requirements</w:t>
      </w:r>
      <w:r>
        <w:t xml:space="preserve"> means the requirements one or both parties are subject to in accordance with the Portfolio Reconciliation Risk Mitigation Techniques.</w:t>
      </w:r>
    </w:p>
    <w:p w14:paraId="5CCAFEC6" w14:textId="77777777" w:rsidR="00C65598" w:rsidRDefault="00C65598" w:rsidP="00115A54">
      <w:pPr>
        <w:pStyle w:val="AODocTxt"/>
        <w:ind w:left="1418"/>
      </w:pPr>
      <w:r w:rsidRPr="00893055">
        <w:rPr>
          <w:b/>
        </w:rPr>
        <w:t>Portfolio Reconciliation Risk Mitigation Techniques</w:t>
      </w:r>
      <w:r>
        <w:t xml:space="preserve"> means the portfolio reconciliation risk mitigation techniques for OTC derivative transactions set out in Article 11(1)(b) of EMIR as supplemented by Article 13 of Chapter VIII of the Commission Delegated Regulation (EU) No 149/2013 of 19 December 2012 and published on 23 February 2013 in the Official Journal of the European Union.</w:t>
      </w:r>
    </w:p>
    <w:p w14:paraId="729CC9F8" w14:textId="77777777" w:rsidR="00C65598" w:rsidRDefault="00C65598" w:rsidP="00115A54">
      <w:pPr>
        <w:pStyle w:val="AODocTxt"/>
        <w:ind w:left="1418"/>
      </w:pPr>
      <w:r w:rsidRPr="00893055">
        <w:rPr>
          <w:b/>
        </w:rPr>
        <w:t>PR Due Date</w:t>
      </w:r>
      <w:r>
        <w:t xml:space="preserve"> means each date agreed as such between the parties provided that the PR Due Date will be the PR Fallback Date where either (a) no date is agreed or (b) the agreed date occurs after the PR Fallback Date.</w:t>
      </w:r>
    </w:p>
    <w:p w14:paraId="03FD1959" w14:textId="77777777" w:rsidR="00C65598" w:rsidRDefault="00C65598" w:rsidP="00115A54">
      <w:pPr>
        <w:pStyle w:val="AODocTxt"/>
        <w:ind w:left="1418"/>
      </w:pPr>
      <w:r w:rsidRPr="00893055">
        <w:rPr>
          <w:b/>
        </w:rPr>
        <w:t>PR Fallback Date</w:t>
      </w:r>
      <w:r>
        <w:t xml:space="preserve"> means: (a) in respect of the PR Period starting on the PR Requirement Start Date, the last Joint Business Day in such PR Period; and, otherwise, (b) the last Joint Business Day in the PR Period starting on the calendar day immediately following the last calendar day of the immediately preceding PR Period. If there is no Joint Business Day in a PR Period, the PR Due Date will be the first Joint Business Day following the end of the PR Period.</w:t>
      </w:r>
    </w:p>
    <w:p w14:paraId="1FC20E53" w14:textId="77777777" w:rsidR="00C65598" w:rsidRDefault="00C65598" w:rsidP="00115A54">
      <w:pPr>
        <w:pStyle w:val="AODocTxt"/>
        <w:ind w:left="1418"/>
      </w:pPr>
      <w:r w:rsidRPr="00893055">
        <w:rPr>
          <w:b/>
        </w:rPr>
        <w:t>PR Period</w:t>
      </w:r>
      <w:r>
        <w:t xml:space="preserve"> means, with respect to the parties:</w:t>
      </w:r>
    </w:p>
    <w:p w14:paraId="72AC5952" w14:textId="77777777" w:rsidR="00C65598" w:rsidRDefault="00C65598" w:rsidP="00115A54">
      <w:pPr>
        <w:pStyle w:val="AODocTxt"/>
        <w:tabs>
          <w:tab w:val="left" w:pos="2127"/>
        </w:tabs>
        <w:ind w:left="2127" w:hanging="709"/>
      </w:pPr>
      <w:r>
        <w:t>(a)</w:t>
      </w:r>
      <w:r>
        <w:tab/>
        <w:t>if the Portfolio Reconciliation Requirements require Data Reconciliation to occur each business day, one Joint Business Day;</w:t>
      </w:r>
    </w:p>
    <w:p w14:paraId="58EB9074" w14:textId="77777777" w:rsidR="00C65598" w:rsidRDefault="00C65598" w:rsidP="00115A54">
      <w:pPr>
        <w:pStyle w:val="AODocTxt"/>
        <w:tabs>
          <w:tab w:val="left" w:pos="2127"/>
        </w:tabs>
        <w:ind w:left="2127" w:hanging="709"/>
      </w:pPr>
      <w:r>
        <w:t>(b)</w:t>
      </w:r>
      <w:r>
        <w:tab/>
        <w:t>if the Portfolio Reconciliation Requirements require Data Reconciliation to occur once per week, one calendar week;</w:t>
      </w:r>
    </w:p>
    <w:p w14:paraId="6011A11C" w14:textId="77777777" w:rsidR="00C65598" w:rsidRDefault="00C65598" w:rsidP="00115A54">
      <w:pPr>
        <w:pStyle w:val="AODocTxt"/>
        <w:tabs>
          <w:tab w:val="left" w:pos="2127"/>
        </w:tabs>
        <w:ind w:left="2127" w:hanging="709"/>
      </w:pPr>
      <w:r>
        <w:t>(c)</w:t>
      </w:r>
      <w:r>
        <w:tab/>
        <w:t>if the Portfolio Reconciliation Requirements require Data Reconciliation to occur once per quarter, three calendar months; or</w:t>
      </w:r>
    </w:p>
    <w:p w14:paraId="1F5E8963" w14:textId="77777777" w:rsidR="00C65598" w:rsidRDefault="00C65598" w:rsidP="00115A54">
      <w:pPr>
        <w:pStyle w:val="AODocTxt"/>
        <w:tabs>
          <w:tab w:val="left" w:pos="2127"/>
        </w:tabs>
        <w:ind w:left="2127" w:hanging="709"/>
      </w:pPr>
      <w:r>
        <w:t>(d)</w:t>
      </w:r>
      <w:r>
        <w:tab/>
        <w:t>if the Portfolio Reconciliation Requirements require Data Reconciliation to occur once per year, one calendar year.</w:t>
      </w:r>
    </w:p>
    <w:p w14:paraId="08C9691E" w14:textId="77777777" w:rsidR="00C65598" w:rsidRDefault="00C65598" w:rsidP="00115A54">
      <w:pPr>
        <w:pStyle w:val="AODocTxt"/>
        <w:ind w:left="1418"/>
      </w:pPr>
      <w:r w:rsidRPr="00893055">
        <w:rPr>
          <w:b/>
        </w:rPr>
        <w:t>PR Requirement Start Date</w:t>
      </w:r>
      <w:r>
        <w:t xml:space="preserve"> means the first calendar day on which the Portfolio Reconciliation Requirements apply to one or both of the parties and Clause </w:t>
      </w:r>
      <w:r w:rsidR="00877071">
        <w:fldChar w:fldCharType="begin"/>
      </w:r>
      <w:r>
        <w:instrText xml:space="preserve"> REF _Ref366144543 \r \h </w:instrText>
      </w:r>
      <w:r w:rsidR="00877071">
        <w:fldChar w:fldCharType="separate"/>
      </w:r>
      <w:r w:rsidR="008B61AC">
        <w:t>1</w:t>
      </w:r>
      <w:r w:rsidR="00877071">
        <w:fldChar w:fldCharType="end"/>
      </w:r>
      <w:r>
        <w:t xml:space="preserve"> applies to the parties.</w:t>
      </w:r>
    </w:p>
    <w:p w14:paraId="31D268AF" w14:textId="77777777" w:rsidR="00C65598" w:rsidRDefault="00C65598" w:rsidP="00115A54">
      <w:pPr>
        <w:pStyle w:val="AODocTxt"/>
        <w:ind w:left="1418"/>
      </w:pPr>
      <w:r w:rsidRPr="00893055">
        <w:rPr>
          <w:b/>
        </w:rPr>
        <w:t>Relevant Transaction</w:t>
      </w:r>
      <w:r>
        <w:t xml:space="preserve"> means an</w:t>
      </w:r>
      <w:r w:rsidRPr="00893055">
        <w:t>y OTC derivative and OTC derivative contract (each as defined in EMIR) between the parties</w:t>
      </w:r>
      <w:r>
        <w:t xml:space="preserve"> which is subject to the Portfolio Reconciliation Risk Mitigation Techniques and/or the Dispute Resolution Risk Mitigation Techniques.</w:t>
      </w:r>
    </w:p>
    <w:p w14:paraId="7006D1AC" w14:textId="77777777" w:rsidR="00667698" w:rsidRDefault="00667698" w:rsidP="00115A54">
      <w:pPr>
        <w:pStyle w:val="AODocTxt"/>
        <w:ind w:left="1418"/>
        <w:rPr>
          <w:b/>
        </w:rPr>
      </w:pPr>
      <w:r>
        <w:rPr>
          <w:b/>
        </w:rPr>
        <w:t>Reporting</w:t>
      </w:r>
      <w:r w:rsidRPr="005009CE">
        <w:rPr>
          <w:b/>
        </w:rPr>
        <w:t xml:space="preserve"> Regulation </w:t>
      </w:r>
      <w:r w:rsidRPr="005009CE">
        <w:t xml:space="preserve">has the meaning given to it in </w:t>
      </w:r>
      <w:r>
        <w:t xml:space="preserve">Clause </w:t>
      </w:r>
      <w:r w:rsidR="00877071">
        <w:fldChar w:fldCharType="begin"/>
      </w:r>
      <w:r>
        <w:instrText xml:space="preserve"> REF _Ref366152797 \r \h </w:instrText>
      </w:r>
      <w:r w:rsidR="00877071">
        <w:fldChar w:fldCharType="separate"/>
      </w:r>
      <w:r w:rsidR="008B61AC">
        <w:t>4.1</w:t>
      </w:r>
      <w:r w:rsidR="00877071">
        <w:fldChar w:fldCharType="end"/>
      </w:r>
      <w:r w:rsidRPr="005009CE">
        <w:t>.</w:t>
      </w:r>
    </w:p>
    <w:p w14:paraId="50A693FE" w14:textId="77777777" w:rsidR="00C65598" w:rsidRDefault="00C65598" w:rsidP="00115A54">
      <w:pPr>
        <w:pStyle w:val="AODocTxt"/>
        <w:ind w:left="1418"/>
      </w:pPr>
      <w:r w:rsidRPr="00893055">
        <w:rPr>
          <w:b/>
        </w:rPr>
        <w:t>Reporting Requirement</w:t>
      </w:r>
      <w:r>
        <w:t xml:space="preserve"> has the meaning given to it in Clause </w:t>
      </w:r>
      <w:r w:rsidR="00877071">
        <w:fldChar w:fldCharType="begin"/>
      </w:r>
      <w:r>
        <w:instrText xml:space="preserve"> REF _Ref366144862 \r \h </w:instrText>
      </w:r>
      <w:r w:rsidR="00877071">
        <w:fldChar w:fldCharType="separate"/>
      </w:r>
      <w:r w:rsidR="008B61AC">
        <w:t>4</w:t>
      </w:r>
      <w:r w:rsidR="00877071">
        <w:fldChar w:fldCharType="end"/>
      </w:r>
      <w:r>
        <w:t>.</w:t>
      </w:r>
    </w:p>
    <w:p w14:paraId="21884F51" w14:textId="77777777" w:rsidR="00C65598" w:rsidRDefault="00C65598" w:rsidP="00115A54">
      <w:pPr>
        <w:pStyle w:val="AODocTxt"/>
        <w:ind w:left="1418"/>
      </w:pPr>
      <w:r w:rsidRPr="00893055">
        <w:rPr>
          <w:b/>
        </w:rPr>
        <w:lastRenderedPageBreak/>
        <w:t>third party service provider</w:t>
      </w:r>
      <w:r>
        <w:t xml:space="preserve"> refers to an entity that the parties agree will perform all or part of the actions under the relevant provision for both parties.</w:t>
      </w:r>
    </w:p>
    <w:p w14:paraId="05579A51" w14:textId="77777777" w:rsidR="00C65598" w:rsidRPr="005009CE" w:rsidRDefault="00C65598" w:rsidP="00115A54">
      <w:pPr>
        <w:pStyle w:val="AODocTxt"/>
        <w:ind w:left="1418"/>
      </w:pPr>
      <w:r w:rsidRPr="00893055">
        <w:rPr>
          <w:b/>
        </w:rPr>
        <w:t>TR</w:t>
      </w:r>
      <w:r>
        <w:t xml:space="preserve"> has the meaning given to it in </w:t>
      </w:r>
      <w:r w:rsidRPr="00893055">
        <w:t xml:space="preserve">Clause </w:t>
      </w:r>
      <w:r w:rsidR="00877071" w:rsidRPr="00893055">
        <w:fldChar w:fldCharType="begin"/>
      </w:r>
      <w:r w:rsidRPr="00893055">
        <w:instrText xml:space="preserve"> REF _Ref366144862 \r \h </w:instrText>
      </w:r>
      <w:r w:rsidR="00877071" w:rsidRPr="00893055">
        <w:fldChar w:fldCharType="separate"/>
      </w:r>
      <w:r w:rsidR="008B61AC">
        <w:t>4</w:t>
      </w:r>
      <w:r w:rsidR="00877071" w:rsidRPr="00893055">
        <w:fldChar w:fldCharType="end"/>
      </w:r>
      <w:r>
        <w:t>.</w:t>
      </w:r>
    </w:p>
    <w:p w14:paraId="0CC7B845" w14:textId="77777777" w:rsidR="00C65598" w:rsidRDefault="00C65598" w:rsidP="00C65598">
      <w:pPr>
        <w:pStyle w:val="AOHead2"/>
      </w:pPr>
      <w:r>
        <w:t>Construction</w:t>
      </w:r>
    </w:p>
    <w:p w14:paraId="64F4F44C" w14:textId="77777777" w:rsidR="00C65598" w:rsidRDefault="00C65598" w:rsidP="00C65598">
      <w:pPr>
        <w:pStyle w:val="AOHead3"/>
      </w:pPr>
      <w:r>
        <w:t>A Clause is a reference to a clause of this Agreement.</w:t>
      </w:r>
    </w:p>
    <w:p w14:paraId="244D0185" w14:textId="77777777" w:rsidR="00C65598" w:rsidRDefault="00C65598" w:rsidP="00C65598">
      <w:pPr>
        <w:pStyle w:val="AOHead3"/>
      </w:pPr>
      <w:r>
        <w:t>The headings used in this Agreement are for convenience of reference only and are not to affect the construction of or to be taken into consideration in interpreting this Agreement.</w:t>
      </w:r>
    </w:p>
    <w:p w14:paraId="39401319" w14:textId="77777777" w:rsidR="00B8170A" w:rsidRDefault="00B8170A" w:rsidP="00B8170A">
      <w:r>
        <w:br w:type="page"/>
      </w:r>
      <w:r w:rsidRPr="00B8170A">
        <w:rPr>
          <w:b/>
        </w:rPr>
        <w:lastRenderedPageBreak/>
        <w:t>IN WITNESS WHEREOF</w:t>
      </w:r>
      <w:r w:rsidRPr="00B8170A">
        <w:t xml:space="preserve"> the undersigned has caused this Agreement to be duly executed as of the date stated at the beginning of this Agreement.</w:t>
      </w:r>
    </w:p>
    <w:p w14:paraId="6A29805E" w14:textId="77777777" w:rsidR="00B8170A" w:rsidRPr="00B8170A" w:rsidRDefault="00B8170A" w:rsidP="00B8170A">
      <w:pPr>
        <w:spacing w:before="240" w:line="260" w:lineRule="atLeast"/>
        <w:jc w:val="both"/>
      </w:pPr>
    </w:p>
    <w:p w14:paraId="552E91A1" w14:textId="77777777" w:rsidR="00B8170A" w:rsidRPr="00B8170A" w:rsidRDefault="00B8170A" w:rsidP="00B8170A">
      <w:pPr>
        <w:spacing w:before="240" w:line="260" w:lineRule="atLeast"/>
        <w:jc w:val="both"/>
      </w:pPr>
    </w:p>
    <w:p w14:paraId="7695B483" w14:textId="77777777" w:rsidR="00F10EA0" w:rsidRPr="0027242E" w:rsidRDefault="0027242E" w:rsidP="00F10EA0">
      <w:pPr>
        <w:spacing w:before="240" w:line="260" w:lineRule="atLeast"/>
        <w:jc w:val="both"/>
        <w:rPr>
          <w:b/>
          <w:bCs/>
        </w:rPr>
      </w:pPr>
      <w:r w:rsidRPr="0027242E">
        <w:rPr>
          <w:b/>
        </w:rPr>
        <w:t xml:space="preserve">[    </w:t>
      </w:r>
      <w:r>
        <w:rPr>
          <w:b/>
        </w:rPr>
        <w:t xml:space="preserve">    </w:t>
      </w:r>
      <w:r w:rsidRPr="0027242E">
        <w:rPr>
          <w:b/>
        </w:rPr>
        <w:t xml:space="preserve"> ]</w:t>
      </w:r>
    </w:p>
    <w:p w14:paraId="683AFC6D" w14:textId="77777777" w:rsidR="00B8170A" w:rsidRPr="00022C73" w:rsidRDefault="00B8170A" w:rsidP="00B8170A">
      <w:pPr>
        <w:spacing w:before="240" w:line="260" w:lineRule="atLeast"/>
        <w:jc w:val="both"/>
        <w:rPr>
          <w:rFonts w:eastAsia="SimSun"/>
        </w:rPr>
      </w:pPr>
      <w:r w:rsidRPr="00022C73">
        <w:rPr>
          <w:rFonts w:eastAsia="SimSun"/>
        </w:rPr>
        <w:t xml:space="preserve">By: </w:t>
      </w:r>
      <w:r w:rsidRPr="00022C73">
        <w:rPr>
          <w:rFonts w:eastAsia="SimSun"/>
        </w:rPr>
        <w:tab/>
        <w:t>_______________________________</w:t>
      </w:r>
    </w:p>
    <w:p w14:paraId="39F2BEBC" w14:textId="77777777" w:rsidR="00B8170A" w:rsidRPr="00022C73" w:rsidRDefault="00B8170A" w:rsidP="00B8170A">
      <w:pPr>
        <w:spacing w:before="240" w:line="260" w:lineRule="atLeast"/>
        <w:jc w:val="both"/>
        <w:rPr>
          <w:rFonts w:eastAsia="SimSun"/>
        </w:rPr>
      </w:pPr>
      <w:r w:rsidRPr="00022C73">
        <w:rPr>
          <w:rFonts w:eastAsia="SimSun"/>
        </w:rPr>
        <w:t>Name:</w:t>
      </w:r>
    </w:p>
    <w:p w14:paraId="308C03AC" w14:textId="77777777" w:rsidR="00B8170A" w:rsidRPr="00492EEB" w:rsidRDefault="00B8170A" w:rsidP="00B8170A">
      <w:pPr>
        <w:spacing w:before="240" w:line="260" w:lineRule="atLeast"/>
        <w:jc w:val="both"/>
        <w:rPr>
          <w:rFonts w:eastAsia="SimSun"/>
          <w:lang w:val="en-US"/>
        </w:rPr>
      </w:pPr>
      <w:r w:rsidRPr="00492EEB">
        <w:rPr>
          <w:rFonts w:eastAsia="SimSun"/>
          <w:lang w:val="en-US"/>
        </w:rPr>
        <w:t>Title:</w:t>
      </w:r>
    </w:p>
    <w:p w14:paraId="06759B01" w14:textId="77777777" w:rsidR="00B8170A" w:rsidRPr="00492EEB" w:rsidRDefault="00B8170A" w:rsidP="00B8170A">
      <w:pPr>
        <w:pStyle w:val="AONormal"/>
        <w:rPr>
          <w:lang w:val="en-US"/>
        </w:rPr>
      </w:pPr>
    </w:p>
    <w:p w14:paraId="68C82DB5" w14:textId="77777777" w:rsidR="00B8170A" w:rsidRPr="00492EEB" w:rsidRDefault="00B8170A" w:rsidP="00B8170A">
      <w:pPr>
        <w:spacing w:before="240" w:line="260" w:lineRule="atLeast"/>
        <w:jc w:val="both"/>
        <w:rPr>
          <w:rFonts w:eastAsia="SimSun"/>
          <w:lang w:val="en-US"/>
        </w:rPr>
      </w:pPr>
    </w:p>
    <w:p w14:paraId="628E695F" w14:textId="77777777" w:rsidR="003D5C44" w:rsidRDefault="008E2637" w:rsidP="00B8170A">
      <w:pPr>
        <w:spacing w:before="240" w:line="260" w:lineRule="atLeast"/>
        <w:jc w:val="both"/>
        <w:rPr>
          <w:b/>
          <w:bCs/>
          <w:lang w:val="en-US"/>
        </w:rPr>
      </w:pPr>
      <w:r>
        <w:rPr>
          <w:b/>
          <w:bCs/>
          <w:lang w:val="en-US"/>
        </w:rPr>
        <w:t>[        ]</w:t>
      </w:r>
    </w:p>
    <w:p w14:paraId="0C6D3B94" w14:textId="77777777" w:rsidR="00B8170A" w:rsidRPr="00022C73" w:rsidRDefault="00B8170A" w:rsidP="00B8170A">
      <w:pPr>
        <w:spacing w:before="240" w:line="260" w:lineRule="atLeast"/>
        <w:jc w:val="both"/>
        <w:rPr>
          <w:rFonts w:eastAsia="SimSun"/>
        </w:rPr>
      </w:pPr>
      <w:r w:rsidRPr="00022C73">
        <w:rPr>
          <w:rFonts w:eastAsia="SimSun"/>
        </w:rPr>
        <w:t xml:space="preserve">By: </w:t>
      </w:r>
      <w:r w:rsidRPr="00022C73">
        <w:rPr>
          <w:rFonts w:eastAsia="SimSun"/>
        </w:rPr>
        <w:tab/>
        <w:t>_______________________________</w:t>
      </w:r>
    </w:p>
    <w:p w14:paraId="55935CFA" w14:textId="77777777" w:rsidR="00B8170A" w:rsidRPr="00022C73" w:rsidRDefault="00B8170A" w:rsidP="00B8170A">
      <w:pPr>
        <w:spacing w:before="240" w:line="260" w:lineRule="atLeast"/>
        <w:jc w:val="both"/>
        <w:rPr>
          <w:rFonts w:eastAsia="SimSun"/>
        </w:rPr>
      </w:pPr>
      <w:r w:rsidRPr="00022C73">
        <w:rPr>
          <w:rFonts w:eastAsia="SimSun"/>
        </w:rPr>
        <w:t>Name:</w:t>
      </w:r>
    </w:p>
    <w:p w14:paraId="1162D637" w14:textId="77777777" w:rsidR="00B8170A" w:rsidRDefault="00B8170A" w:rsidP="00B8170A">
      <w:pPr>
        <w:spacing w:before="240" w:line="260" w:lineRule="atLeast"/>
        <w:jc w:val="both"/>
        <w:rPr>
          <w:rFonts w:eastAsia="SimSun"/>
        </w:rPr>
      </w:pPr>
      <w:r w:rsidRPr="00022C73">
        <w:rPr>
          <w:rFonts w:eastAsia="SimSun"/>
        </w:rPr>
        <w:t>Title:</w:t>
      </w:r>
    </w:p>
    <w:p w14:paraId="17C0A4F8" w14:textId="77777777" w:rsidR="00053D60" w:rsidRDefault="00053D60" w:rsidP="00053D60">
      <w:pPr>
        <w:pStyle w:val="AODocTxtL1"/>
      </w:pPr>
    </w:p>
    <w:sectPr w:rsidR="00053D60" w:rsidSect="00592AF4">
      <w:headerReference w:type="default" r:id="rId11"/>
      <w:footerReference w:type="default" r:id="rId12"/>
      <w:headerReference w:type="first" r:id="rId13"/>
      <w:footerReference w:type="first" r:id="rId14"/>
      <w:pgSz w:w="11907" w:h="16839" w:code="9"/>
      <w:pgMar w:top="1588" w:right="1134" w:bottom="1021" w:left="1134" w:header="851"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AA3F7" w14:textId="77777777" w:rsidR="000D1C4B" w:rsidRPr="00920631" w:rsidRDefault="000D1C4B" w:rsidP="001E7139">
      <w:r w:rsidRPr="00920631">
        <w:separator/>
      </w:r>
    </w:p>
  </w:endnote>
  <w:endnote w:type="continuationSeparator" w:id="0">
    <w:p w14:paraId="4CFFD483" w14:textId="77777777" w:rsidR="000D1C4B" w:rsidRPr="00920631" w:rsidRDefault="000D1C4B" w:rsidP="001E7139">
      <w:r w:rsidRPr="009206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209"/>
      <w:gridCol w:w="3214"/>
      <w:gridCol w:w="3216"/>
    </w:tblGrid>
    <w:tr w:rsidR="00BB07C3" w:rsidRPr="00592AF4" w14:paraId="2996E68D" w14:textId="77777777" w:rsidTr="00337DCE">
      <w:tc>
        <w:tcPr>
          <w:tcW w:w="5000" w:type="pct"/>
          <w:gridSpan w:val="3"/>
          <w:tcMar>
            <w:top w:w="170" w:type="dxa"/>
          </w:tcMar>
        </w:tcPr>
        <w:bookmarkStart w:id="21" w:name="bmkFooterPrimaryDoc"/>
        <w:p w14:paraId="263A673A" w14:textId="77777777" w:rsidR="00BB07C3" w:rsidRPr="00592AF4" w:rsidRDefault="00877071" w:rsidP="007D75EC">
          <w:pPr>
            <w:pStyle w:val="AONormal8LBold"/>
          </w:pPr>
          <w:r w:rsidRPr="00592AF4">
            <w:fldChar w:fldCharType="begin"/>
          </w:r>
          <w:r w:rsidR="00BB07C3" w:rsidRPr="00592AF4">
            <w:instrText xml:space="preserve"> DOCPROPERTY cpFooterText </w:instrText>
          </w:r>
          <w:r w:rsidRPr="00592AF4">
            <w:fldChar w:fldCharType="separate"/>
          </w:r>
          <w:r w:rsidR="008B61AC">
            <w:t xml:space="preserve"> </w:t>
          </w:r>
          <w:r w:rsidRPr="00592AF4">
            <w:fldChar w:fldCharType="end"/>
          </w:r>
        </w:p>
      </w:tc>
    </w:tr>
    <w:tr w:rsidR="00BB07C3" w:rsidRPr="00592AF4" w14:paraId="0C575A48" w14:textId="77777777" w:rsidTr="00337DCE">
      <w:tc>
        <w:tcPr>
          <w:tcW w:w="1665" w:type="pct"/>
        </w:tcPr>
        <w:p w14:paraId="1D1777D5" w14:textId="77777777" w:rsidR="00BB07C3" w:rsidRPr="00592AF4" w:rsidRDefault="00BB07C3" w:rsidP="007D75EC">
          <w:pPr>
            <w:pStyle w:val="AONormal8L"/>
          </w:pPr>
        </w:p>
      </w:tc>
      <w:tc>
        <w:tcPr>
          <w:tcW w:w="1667" w:type="pct"/>
        </w:tcPr>
        <w:p w14:paraId="285CDA3B" w14:textId="5B796863" w:rsidR="00BB07C3" w:rsidRPr="00592AF4" w:rsidRDefault="00877071" w:rsidP="007D75EC">
          <w:pPr>
            <w:pStyle w:val="AONormal8C"/>
          </w:pPr>
          <w:r w:rsidRPr="00592AF4">
            <w:fldChar w:fldCharType="begin"/>
          </w:r>
          <w:r w:rsidR="00BB07C3" w:rsidRPr="00592AF4">
            <w:instrText xml:space="preserve"> PAGE  \* Arabic  \* MERGEFORMAT </w:instrText>
          </w:r>
          <w:r w:rsidRPr="00592AF4">
            <w:fldChar w:fldCharType="separate"/>
          </w:r>
          <w:r w:rsidR="00CF3909">
            <w:rPr>
              <w:noProof/>
            </w:rPr>
            <w:t>7</w:t>
          </w:r>
          <w:r w:rsidRPr="00592AF4">
            <w:fldChar w:fldCharType="end"/>
          </w:r>
        </w:p>
      </w:tc>
      <w:tc>
        <w:tcPr>
          <w:tcW w:w="1667" w:type="pct"/>
        </w:tcPr>
        <w:p w14:paraId="0D2CD796" w14:textId="77777777" w:rsidR="00BB07C3" w:rsidRPr="00592AF4" w:rsidRDefault="00BB07C3" w:rsidP="007D75EC">
          <w:pPr>
            <w:pStyle w:val="AONormal8R"/>
          </w:pPr>
        </w:p>
      </w:tc>
    </w:tr>
    <w:bookmarkEnd w:id="21"/>
  </w:tbl>
  <w:p w14:paraId="0E2F25E5" w14:textId="77777777" w:rsidR="00337DCE" w:rsidRPr="00920631" w:rsidRDefault="00337DCE" w:rsidP="008C14D4">
    <w:pPr>
      <w:pStyle w:val="AONormal8L"/>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283"/>
      <w:gridCol w:w="3286"/>
      <w:gridCol w:w="3286"/>
    </w:tblGrid>
    <w:tr w:rsidR="005D5CB3" w:rsidRPr="00592AF4" w14:paraId="76FD401F" w14:textId="77777777" w:rsidTr="005D5CB3">
      <w:tc>
        <w:tcPr>
          <w:tcW w:w="5000" w:type="pct"/>
          <w:gridSpan w:val="3"/>
          <w:tcMar>
            <w:top w:w="170" w:type="dxa"/>
          </w:tcMar>
        </w:tcPr>
        <w:p w14:paraId="3F353349" w14:textId="77777777" w:rsidR="005D5CB3" w:rsidRPr="00592AF4" w:rsidRDefault="00877071" w:rsidP="005D5CB3">
          <w:pPr>
            <w:pStyle w:val="AONormal8LBold"/>
          </w:pPr>
          <w:r>
            <w:fldChar w:fldCharType="begin"/>
          </w:r>
          <w:r w:rsidR="0089742E">
            <w:instrText xml:space="preserve"> DOCPROPERTY  cpFooterText </w:instrText>
          </w:r>
          <w:r>
            <w:fldChar w:fldCharType="separate"/>
          </w:r>
          <w:r w:rsidR="008B61AC">
            <w:t xml:space="preserve"> </w:t>
          </w:r>
          <w:r>
            <w:fldChar w:fldCharType="end"/>
          </w:r>
        </w:p>
      </w:tc>
    </w:tr>
    <w:tr w:rsidR="005D5CB3" w:rsidRPr="00592AF4" w14:paraId="35E11FCF" w14:textId="77777777" w:rsidTr="005D5CB3">
      <w:tc>
        <w:tcPr>
          <w:tcW w:w="1666" w:type="pct"/>
        </w:tcPr>
        <w:p w14:paraId="6C91E5D6" w14:textId="77777777" w:rsidR="005D5CB3" w:rsidRPr="00592AF4" w:rsidRDefault="00877071" w:rsidP="005D5CB3">
          <w:pPr>
            <w:pStyle w:val="AONormal8L"/>
          </w:pPr>
          <w:r>
            <w:fldChar w:fldCharType="begin"/>
          </w:r>
          <w:r w:rsidR="0089742E">
            <w:instrText xml:space="preserve"> DOCPROPERTY  cpCombinedRef </w:instrText>
          </w:r>
          <w:r>
            <w:fldChar w:fldCharType="separate"/>
          </w:r>
          <w:r w:rsidR="008B61AC">
            <w:t>0012186-0005959 ICM:17900725.3</w:t>
          </w:r>
          <w:r>
            <w:fldChar w:fldCharType="end"/>
          </w:r>
        </w:p>
      </w:tc>
      <w:tc>
        <w:tcPr>
          <w:tcW w:w="1667" w:type="pct"/>
        </w:tcPr>
        <w:p w14:paraId="342B3742" w14:textId="77777777" w:rsidR="005D5CB3" w:rsidRPr="00592AF4" w:rsidRDefault="00877071" w:rsidP="005D5CB3">
          <w:pPr>
            <w:pStyle w:val="AONormal8C"/>
          </w:pPr>
          <w:r w:rsidRPr="00592AF4">
            <w:fldChar w:fldCharType="begin"/>
          </w:r>
          <w:r w:rsidR="005D5CB3" w:rsidRPr="00592AF4">
            <w:instrText xml:space="preserve"> PAGE  \* Arabic  \* MERGEFORMAT </w:instrText>
          </w:r>
          <w:r w:rsidRPr="00592AF4">
            <w:fldChar w:fldCharType="separate"/>
          </w:r>
          <w:r w:rsidR="005D5CB3" w:rsidRPr="00592AF4">
            <w:rPr>
              <w:noProof/>
            </w:rPr>
            <w:t>1</w:t>
          </w:r>
          <w:r w:rsidRPr="00592AF4">
            <w:fldChar w:fldCharType="end"/>
          </w:r>
        </w:p>
      </w:tc>
      <w:tc>
        <w:tcPr>
          <w:tcW w:w="1667" w:type="pct"/>
        </w:tcPr>
        <w:p w14:paraId="78F3A3D5" w14:textId="77777777" w:rsidR="005D5CB3" w:rsidRPr="00592AF4" w:rsidRDefault="005D5CB3" w:rsidP="005D5CB3">
          <w:pPr>
            <w:pStyle w:val="AONormal8R"/>
          </w:pPr>
        </w:p>
      </w:tc>
    </w:tr>
  </w:tbl>
  <w:p w14:paraId="188E24BD" w14:textId="77777777" w:rsidR="005D5CB3" w:rsidRDefault="005D5CB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3250D" w14:textId="77777777" w:rsidR="000D1C4B" w:rsidRPr="00920631" w:rsidRDefault="000D1C4B" w:rsidP="001E7139">
      <w:r w:rsidRPr="00920631">
        <w:separator/>
      </w:r>
    </w:p>
  </w:footnote>
  <w:footnote w:type="continuationSeparator" w:id="0">
    <w:p w14:paraId="4A23294F" w14:textId="77777777" w:rsidR="000D1C4B" w:rsidRPr="00920631" w:rsidRDefault="000D1C4B" w:rsidP="001E7139">
      <w:r w:rsidRPr="009206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9639"/>
    </w:tblGrid>
    <w:tr w:rsidR="0045533C" w:rsidRPr="00592AF4" w14:paraId="35FB252B" w14:textId="77777777" w:rsidTr="0045533C">
      <w:tc>
        <w:tcPr>
          <w:tcW w:w="5000" w:type="pct"/>
        </w:tcPr>
        <w:p w14:paraId="497C05E6" w14:textId="77777777" w:rsidR="00C569B7" w:rsidRPr="00592AF4" w:rsidRDefault="00C569B7" w:rsidP="00C569B7">
          <w:pPr>
            <w:pStyle w:val="AONormal8LBold"/>
          </w:pPr>
        </w:p>
      </w:tc>
    </w:tr>
  </w:tbl>
  <w:p w14:paraId="7ECDA993" w14:textId="77777777" w:rsidR="00337DCE" w:rsidRPr="00920631" w:rsidRDefault="00337DCE" w:rsidP="00337DCE">
    <w:pPr>
      <w:pStyle w:val="AONormal8L"/>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854"/>
    </w:tblGrid>
    <w:tr w:rsidR="005D5CB3" w:rsidRPr="00592AF4" w14:paraId="2814FF68" w14:textId="77777777" w:rsidTr="005D5CB3">
      <w:tc>
        <w:tcPr>
          <w:tcW w:w="9854" w:type="dxa"/>
        </w:tcPr>
        <w:bookmarkStart w:id="22" w:name="bmkHeaderPrimaryDoc"/>
        <w:p w14:paraId="0327C749" w14:textId="77777777" w:rsidR="005D5CB3" w:rsidRPr="00592AF4" w:rsidRDefault="00877071" w:rsidP="005D5CB3">
          <w:pPr>
            <w:pStyle w:val="AONormal8LBold"/>
          </w:pPr>
          <w:r w:rsidRPr="00592AF4">
            <w:fldChar w:fldCharType="begin"/>
          </w:r>
          <w:r w:rsidR="005D5CB3" w:rsidRPr="00592AF4">
            <w:instrText xml:space="preserve"> DOCPROPERTY  cpHeaderText </w:instrText>
          </w:r>
          <w:r w:rsidRPr="00592AF4">
            <w:fldChar w:fldCharType="separate"/>
          </w:r>
          <w:r w:rsidR="008B61AC">
            <w:t xml:space="preserve"> </w:t>
          </w:r>
          <w:r w:rsidRPr="00592AF4">
            <w:fldChar w:fldCharType="end"/>
          </w:r>
        </w:p>
      </w:tc>
    </w:tr>
    <w:bookmarkEnd w:id="22"/>
  </w:tbl>
  <w:p w14:paraId="489701FD" w14:textId="77777777" w:rsidR="005D5CB3" w:rsidRDefault="005D5CB3" w:rsidP="005D5CB3">
    <w:pPr>
      <w:pStyle w:val="AONormal8L"/>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209E7"/>
    <w:multiLevelType w:val="multilevel"/>
    <w:tmpl w:val="02827A94"/>
    <w:name w:val="AOApp"/>
    <w:lvl w:ilvl="0">
      <w:start w:val="1"/>
      <w:numFmt w:val="decimal"/>
      <w:lvlRestart w:val="0"/>
      <w:pStyle w:val="AOAppHead"/>
      <w:suff w:val="nothing"/>
      <w:lvlText w:val="Appendix %1"/>
      <w:lvlJc w:val="left"/>
      <w:pPr>
        <w:tabs>
          <w:tab w:val="num" w:pos="0"/>
        </w:tabs>
        <w:ind w:left="0" w:firstLine="0"/>
      </w:pPr>
      <w:rPr>
        <w:rFonts w:ascii="Times New Roman" w:hAnsi="Times New Roman"/>
        <w:b/>
        <w:caps/>
        <w:smallCaps w:val="0"/>
      </w:rPr>
    </w:lvl>
    <w:lvl w:ilvl="1">
      <w:start w:val="1"/>
      <w:numFmt w:val="decimal"/>
      <w:pStyle w:val="AOApp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C8BA0E82"/>
    <w:name w:val="AOListNumberList"/>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91B2F300"/>
    <w:name w:val="AOBullet2List"/>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B340FAA"/>
    <w:name w:val="AOBulletList"/>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4" w15:restartNumberingAfterBreak="0">
    <w:nsid w:val="391D542D"/>
    <w:multiLevelType w:val="multilevel"/>
    <w:tmpl w:val="CEA2CDB4"/>
    <w:name w:val="AOTOC67"/>
    <w:lvl w:ilvl="0">
      <w:start w:val="1"/>
      <w:numFmt w:val="decimal"/>
      <w:lvlRestart w:val="0"/>
      <w:pStyle w:val="TDC6"/>
      <w:lvlText w:val="%1."/>
      <w:lvlJc w:val="left"/>
      <w:pPr>
        <w:tabs>
          <w:tab w:val="num" w:pos="720"/>
        </w:tabs>
        <w:ind w:left="720" w:hanging="720"/>
      </w:pPr>
      <w:rPr>
        <w:rFonts w:ascii="Times New Roman" w:hAnsi="Times New Roman" w:cs="Times New Roman"/>
      </w:rPr>
    </w:lvl>
    <w:lvl w:ilvl="1">
      <w:start w:val="1"/>
      <w:numFmt w:val="decimal"/>
      <w:pStyle w:val="TD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5" w15:restartNumberingAfterBreak="0">
    <w:nsid w:val="3D0E7D39"/>
    <w:multiLevelType w:val="multilevel"/>
    <w:tmpl w:val="B03C890A"/>
    <w:name w:val="AOSch"/>
    <w:lvl w:ilvl="0">
      <w:start w:val="1"/>
      <w:numFmt w:val="decimal"/>
      <w:lvlRestart w:val="0"/>
      <w:pStyle w:val="AOSchHead"/>
      <w:suff w:val="nothing"/>
      <w:lvlText w:val="Schedule %1"/>
      <w:lvlJc w:val="left"/>
      <w:pPr>
        <w:tabs>
          <w:tab w:val="num" w:pos="0"/>
        </w:tabs>
        <w:ind w:left="0" w:firstLine="0"/>
      </w:pPr>
      <w:rPr>
        <w:rFonts w:ascii="Times New Roman" w:hAnsi="Times New Roman"/>
        <w:b/>
        <w:caps/>
        <w:smallCaps w:val="0"/>
      </w:rPr>
    </w:lvl>
    <w:lvl w:ilvl="1">
      <w:start w:val="1"/>
      <w:numFmt w:val="decimal"/>
      <w:pStyle w:val="AOSch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E29759A"/>
    <w:multiLevelType w:val="multilevel"/>
    <w:tmpl w:val="E092EC9E"/>
    <w:name w:val="AOGen2"/>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41F230E7"/>
    <w:multiLevelType w:val="singleLevel"/>
    <w:tmpl w:val="DC820D2A"/>
    <w:name w:val="AOBullet4List"/>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8" w15:restartNumberingAfterBreak="0">
    <w:nsid w:val="475B3203"/>
    <w:multiLevelType w:val="multilevel"/>
    <w:tmpl w:val="D15EADD4"/>
    <w:name w:val="AODo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9" w15:restartNumberingAfterBreak="0">
    <w:nsid w:val="47B238E7"/>
    <w:multiLevelType w:val="multilevel"/>
    <w:tmpl w:val="7A9658F2"/>
    <w:name w:val="AOGen3"/>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FE385F70"/>
    <w:name w:val="AOAnx"/>
    <w:lvl w:ilvl="0">
      <w:start w:val="1"/>
      <w:numFmt w:val="decimal"/>
      <w:lvlRestart w:val="0"/>
      <w:pStyle w:val="AOAnxHead"/>
      <w:suff w:val="nothing"/>
      <w:lvlText w:val="Annex %1"/>
      <w:lvlJc w:val="left"/>
      <w:pPr>
        <w:tabs>
          <w:tab w:val="num" w:pos="0"/>
        </w:tabs>
        <w:ind w:left="0" w:firstLine="0"/>
      </w:pPr>
      <w:rPr>
        <w:rFonts w:ascii="Times New Roman" w:hAnsi="Times New Roman"/>
        <w:b/>
        <w:caps/>
        <w:smallCaps w:val="0"/>
      </w:rPr>
    </w:lvl>
    <w:lvl w:ilvl="1">
      <w:start w:val="1"/>
      <w:numFmt w:val="decimal"/>
      <w:pStyle w:val="AOAnxPartHead"/>
      <w:suff w:val="nothing"/>
      <w:lvlText w:val="Part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FC4EE694"/>
    <w:name w:val="AO1"/>
    <w:lvl w:ilvl="0">
      <w:start w:val="1"/>
      <w:numFmt w:val="decimal"/>
      <w:lvlRestart w:val="0"/>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4E2EC262"/>
    <w:name w:val="AOTOC34"/>
    <w:lvl w:ilvl="0">
      <w:start w:val="1"/>
      <w:numFmt w:val="decimal"/>
      <w:lvlRestart w:val="0"/>
      <w:pStyle w:val="TDC3"/>
      <w:lvlText w:val="%1."/>
      <w:lvlJc w:val="left"/>
      <w:pPr>
        <w:tabs>
          <w:tab w:val="num" w:pos="720"/>
        </w:tabs>
        <w:ind w:left="720" w:hanging="720"/>
      </w:pPr>
      <w:rPr>
        <w:rFonts w:ascii="Times New Roman" w:hAnsi="Times New Roman" w:cs="Times New Roman"/>
      </w:rPr>
    </w:lvl>
    <w:lvl w:ilvl="1">
      <w:start w:val="1"/>
      <w:numFmt w:val="decimal"/>
      <w:pStyle w:val="TD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FB3E2BC8"/>
    <w:name w:val="AOA"/>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6172C5CA"/>
    <w:name w:val="AOTOC89"/>
    <w:lvl w:ilvl="0">
      <w:start w:val="1"/>
      <w:numFmt w:val="decimal"/>
      <w:lvlRestart w:val="0"/>
      <w:pStyle w:val="TDC8"/>
      <w:lvlText w:val="%1."/>
      <w:lvlJc w:val="left"/>
      <w:pPr>
        <w:tabs>
          <w:tab w:val="num" w:pos="720"/>
        </w:tabs>
        <w:ind w:left="720" w:hanging="720"/>
      </w:pPr>
      <w:rPr>
        <w:rFonts w:ascii="Times New Roman" w:hAnsi="Times New Roman" w:cs="Times New Roman"/>
      </w:rPr>
    </w:lvl>
    <w:lvl w:ilvl="1">
      <w:start w:val="1"/>
      <w:numFmt w:val="decimal"/>
      <w:pStyle w:val="TD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1870E8F0"/>
    <w:name w:val="AODef"/>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C4E419E8"/>
    <w:name w:val="AOBullet3List"/>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4B682484"/>
    <w:name w:val="AOGen1"/>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12"/>
  </w:num>
  <w:num w:numId="2">
    <w:abstractNumId w:val="11"/>
  </w:num>
  <w:num w:numId="3">
    <w:abstractNumId w:val="14"/>
  </w:num>
  <w:num w:numId="4">
    <w:abstractNumId w:val="18"/>
  </w:num>
  <w:num w:numId="5">
    <w:abstractNumId w:val="6"/>
  </w:num>
  <w:num w:numId="6">
    <w:abstractNumId w:val="9"/>
  </w:num>
  <w:num w:numId="7">
    <w:abstractNumId w:val="16"/>
  </w:num>
  <w:num w:numId="8">
    <w:abstractNumId w:val="0"/>
  </w:num>
  <w:num w:numId="9">
    <w:abstractNumId w:val="10"/>
  </w:num>
  <w:num w:numId="10">
    <w:abstractNumId w:val="5"/>
  </w:num>
  <w:num w:numId="11">
    <w:abstractNumId w:val="3"/>
  </w:num>
  <w:num w:numId="12">
    <w:abstractNumId w:val="2"/>
  </w:num>
  <w:num w:numId="13">
    <w:abstractNumId w:val="17"/>
  </w:num>
  <w:num w:numId="14">
    <w:abstractNumId w:val="7"/>
  </w:num>
  <w:num w:numId="15">
    <w:abstractNumId w:val="13"/>
  </w:num>
  <w:num w:numId="16">
    <w:abstractNumId w:val="4"/>
  </w:num>
  <w:num w:numId="17">
    <w:abstractNumId w:val="15"/>
  </w:num>
  <w:num w:numId="18">
    <w:abstractNumId w:val="1"/>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8"/>
  </w:num>
  <w:num w:numId="45">
    <w:abstractNumId w:val="12"/>
  </w:num>
  <w:num w:numId="46">
    <w:abstractNumId w:val="12"/>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592AF4"/>
    <w:rsid w:val="00002FE7"/>
    <w:rsid w:val="00035DF9"/>
    <w:rsid w:val="000520A8"/>
    <w:rsid w:val="00053D60"/>
    <w:rsid w:val="00065C5B"/>
    <w:rsid w:val="00083181"/>
    <w:rsid w:val="000A652E"/>
    <w:rsid w:val="000B1225"/>
    <w:rsid w:val="000D0702"/>
    <w:rsid w:val="000D1C4B"/>
    <w:rsid w:val="000F278A"/>
    <w:rsid w:val="000F4073"/>
    <w:rsid w:val="000F65F3"/>
    <w:rsid w:val="000F7E40"/>
    <w:rsid w:val="00115A54"/>
    <w:rsid w:val="001166B5"/>
    <w:rsid w:val="0014442C"/>
    <w:rsid w:val="00151EA1"/>
    <w:rsid w:val="00153BA4"/>
    <w:rsid w:val="001837F3"/>
    <w:rsid w:val="0019742C"/>
    <w:rsid w:val="001A02B4"/>
    <w:rsid w:val="001A0BA7"/>
    <w:rsid w:val="001C16F7"/>
    <w:rsid w:val="001C5BF1"/>
    <w:rsid w:val="001E222F"/>
    <w:rsid w:val="001E2F66"/>
    <w:rsid w:val="001E7139"/>
    <w:rsid w:val="001E79DF"/>
    <w:rsid w:val="00207F8C"/>
    <w:rsid w:val="00244F4C"/>
    <w:rsid w:val="00251D49"/>
    <w:rsid w:val="00252E5C"/>
    <w:rsid w:val="0027242E"/>
    <w:rsid w:val="002A01D2"/>
    <w:rsid w:val="002E0DDE"/>
    <w:rsid w:val="0031607D"/>
    <w:rsid w:val="00323A23"/>
    <w:rsid w:val="00337DCE"/>
    <w:rsid w:val="003437CB"/>
    <w:rsid w:val="0036321F"/>
    <w:rsid w:val="003715E8"/>
    <w:rsid w:val="00375A6D"/>
    <w:rsid w:val="003813A3"/>
    <w:rsid w:val="003A6D44"/>
    <w:rsid w:val="003D5C44"/>
    <w:rsid w:val="003E2C1D"/>
    <w:rsid w:val="003E4FF5"/>
    <w:rsid w:val="00432A6C"/>
    <w:rsid w:val="00440C96"/>
    <w:rsid w:val="004506F1"/>
    <w:rsid w:val="0045519F"/>
    <w:rsid w:val="0045533C"/>
    <w:rsid w:val="0045753C"/>
    <w:rsid w:val="00463113"/>
    <w:rsid w:val="00465466"/>
    <w:rsid w:val="0047162F"/>
    <w:rsid w:val="00490EA9"/>
    <w:rsid w:val="00492EEB"/>
    <w:rsid w:val="004A53E3"/>
    <w:rsid w:val="004A6489"/>
    <w:rsid w:val="004B39A3"/>
    <w:rsid w:val="004C587E"/>
    <w:rsid w:val="004C682B"/>
    <w:rsid w:val="004E4A83"/>
    <w:rsid w:val="004F376F"/>
    <w:rsid w:val="00500175"/>
    <w:rsid w:val="005009CE"/>
    <w:rsid w:val="005249CA"/>
    <w:rsid w:val="005362E1"/>
    <w:rsid w:val="005710C9"/>
    <w:rsid w:val="00575B91"/>
    <w:rsid w:val="00592AF4"/>
    <w:rsid w:val="00593BB4"/>
    <w:rsid w:val="005970B9"/>
    <w:rsid w:val="005A724F"/>
    <w:rsid w:val="005A7C6C"/>
    <w:rsid w:val="005B1917"/>
    <w:rsid w:val="005C595A"/>
    <w:rsid w:val="005D16AE"/>
    <w:rsid w:val="005D5CB3"/>
    <w:rsid w:val="005E5E8C"/>
    <w:rsid w:val="00624BE1"/>
    <w:rsid w:val="00630AD0"/>
    <w:rsid w:val="006452E7"/>
    <w:rsid w:val="00646D3A"/>
    <w:rsid w:val="006639DB"/>
    <w:rsid w:val="00667698"/>
    <w:rsid w:val="0068599B"/>
    <w:rsid w:val="00692BB9"/>
    <w:rsid w:val="006A5AA0"/>
    <w:rsid w:val="006C6D54"/>
    <w:rsid w:val="006D2482"/>
    <w:rsid w:val="006F1DEB"/>
    <w:rsid w:val="006F4DD9"/>
    <w:rsid w:val="00710572"/>
    <w:rsid w:val="00730573"/>
    <w:rsid w:val="00731412"/>
    <w:rsid w:val="007B28FC"/>
    <w:rsid w:val="007B3163"/>
    <w:rsid w:val="007C63AF"/>
    <w:rsid w:val="007D75EC"/>
    <w:rsid w:val="007F58E2"/>
    <w:rsid w:val="00822A1E"/>
    <w:rsid w:val="00833EFF"/>
    <w:rsid w:val="00847709"/>
    <w:rsid w:val="00877071"/>
    <w:rsid w:val="0089279A"/>
    <w:rsid w:val="00893055"/>
    <w:rsid w:val="0089742E"/>
    <w:rsid w:val="008A2FF1"/>
    <w:rsid w:val="008A6627"/>
    <w:rsid w:val="008B61AC"/>
    <w:rsid w:val="008C14D4"/>
    <w:rsid w:val="008E0A09"/>
    <w:rsid w:val="008E2637"/>
    <w:rsid w:val="008F68D8"/>
    <w:rsid w:val="00920631"/>
    <w:rsid w:val="009261B4"/>
    <w:rsid w:val="00931E54"/>
    <w:rsid w:val="00960F52"/>
    <w:rsid w:val="00970615"/>
    <w:rsid w:val="0099290E"/>
    <w:rsid w:val="0099378A"/>
    <w:rsid w:val="009A115F"/>
    <w:rsid w:val="009A6859"/>
    <w:rsid w:val="009C054F"/>
    <w:rsid w:val="009D20EB"/>
    <w:rsid w:val="009D5BFC"/>
    <w:rsid w:val="009E0C49"/>
    <w:rsid w:val="009E48A8"/>
    <w:rsid w:val="009E4E82"/>
    <w:rsid w:val="00A01524"/>
    <w:rsid w:val="00A279B2"/>
    <w:rsid w:val="00A434A7"/>
    <w:rsid w:val="00A54268"/>
    <w:rsid w:val="00A6264B"/>
    <w:rsid w:val="00A75C44"/>
    <w:rsid w:val="00A76A73"/>
    <w:rsid w:val="00AA24D7"/>
    <w:rsid w:val="00AC48ED"/>
    <w:rsid w:val="00AD258A"/>
    <w:rsid w:val="00AF494D"/>
    <w:rsid w:val="00B10DFE"/>
    <w:rsid w:val="00B1321E"/>
    <w:rsid w:val="00B15851"/>
    <w:rsid w:val="00B2542B"/>
    <w:rsid w:val="00B34889"/>
    <w:rsid w:val="00B4139C"/>
    <w:rsid w:val="00B61408"/>
    <w:rsid w:val="00B8170A"/>
    <w:rsid w:val="00B851C0"/>
    <w:rsid w:val="00BA02C5"/>
    <w:rsid w:val="00BA6B05"/>
    <w:rsid w:val="00BB05E4"/>
    <w:rsid w:val="00BB07C3"/>
    <w:rsid w:val="00BB7754"/>
    <w:rsid w:val="00BC0964"/>
    <w:rsid w:val="00BD70A4"/>
    <w:rsid w:val="00BE2502"/>
    <w:rsid w:val="00BE3FB2"/>
    <w:rsid w:val="00BF1C21"/>
    <w:rsid w:val="00C2524B"/>
    <w:rsid w:val="00C27C6D"/>
    <w:rsid w:val="00C30524"/>
    <w:rsid w:val="00C30550"/>
    <w:rsid w:val="00C33BCE"/>
    <w:rsid w:val="00C46506"/>
    <w:rsid w:val="00C569B7"/>
    <w:rsid w:val="00C6476E"/>
    <w:rsid w:val="00C65598"/>
    <w:rsid w:val="00C7684F"/>
    <w:rsid w:val="00CA2C1F"/>
    <w:rsid w:val="00CA33EF"/>
    <w:rsid w:val="00CA6867"/>
    <w:rsid w:val="00CC19DE"/>
    <w:rsid w:val="00CC4B18"/>
    <w:rsid w:val="00CC505D"/>
    <w:rsid w:val="00CD0DAD"/>
    <w:rsid w:val="00CD11C7"/>
    <w:rsid w:val="00CE77E1"/>
    <w:rsid w:val="00CF3909"/>
    <w:rsid w:val="00D03DDB"/>
    <w:rsid w:val="00D60A12"/>
    <w:rsid w:val="00D836DC"/>
    <w:rsid w:val="00D87BE1"/>
    <w:rsid w:val="00DF21DC"/>
    <w:rsid w:val="00E05622"/>
    <w:rsid w:val="00E0655F"/>
    <w:rsid w:val="00E10F65"/>
    <w:rsid w:val="00E146CB"/>
    <w:rsid w:val="00E17B23"/>
    <w:rsid w:val="00E27DCB"/>
    <w:rsid w:val="00E30C20"/>
    <w:rsid w:val="00E436B8"/>
    <w:rsid w:val="00E518BB"/>
    <w:rsid w:val="00E72D84"/>
    <w:rsid w:val="00E81B74"/>
    <w:rsid w:val="00E904EB"/>
    <w:rsid w:val="00E9172D"/>
    <w:rsid w:val="00E94A89"/>
    <w:rsid w:val="00EA5A2B"/>
    <w:rsid w:val="00EB0187"/>
    <w:rsid w:val="00EB0A54"/>
    <w:rsid w:val="00EC7D9C"/>
    <w:rsid w:val="00ED1E76"/>
    <w:rsid w:val="00EF130A"/>
    <w:rsid w:val="00EF1683"/>
    <w:rsid w:val="00EF6F8B"/>
    <w:rsid w:val="00F01CD0"/>
    <w:rsid w:val="00F10EA0"/>
    <w:rsid w:val="00F11FD2"/>
    <w:rsid w:val="00F14BCA"/>
    <w:rsid w:val="00F22619"/>
    <w:rsid w:val="00F24F01"/>
    <w:rsid w:val="00F455E7"/>
    <w:rsid w:val="00F53B14"/>
    <w:rsid w:val="00F553A4"/>
    <w:rsid w:val="00F647A7"/>
    <w:rsid w:val="00F67C1C"/>
    <w:rsid w:val="00F70721"/>
    <w:rsid w:val="00F71034"/>
    <w:rsid w:val="00F93ECA"/>
    <w:rsid w:val="00FC1505"/>
    <w:rsid w:val="00FD4C5E"/>
    <w:rsid w:val="00FD5759"/>
    <w:rsid w:val="00FE06BB"/>
    <w:rsid w:val="00FE1135"/>
    <w:rsid w:val="00FF5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0EE6826"/>
  <w15:docId w15:val="{E6226368-D3ED-4493-928D-6B334D28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70A"/>
    <w:rPr>
      <w:sz w:val="22"/>
      <w:szCs w:val="22"/>
      <w:lang w:eastAsia="en-US"/>
    </w:rPr>
  </w:style>
  <w:style w:type="paragraph" w:styleId="Ttulo1">
    <w:name w:val="heading 1"/>
    <w:basedOn w:val="AOHeadings"/>
    <w:next w:val="AODocTxt"/>
    <w:link w:val="Ttulo1Car"/>
    <w:uiPriority w:val="9"/>
    <w:qFormat/>
    <w:rsid w:val="001E7139"/>
    <w:pPr>
      <w:keepNext/>
      <w:outlineLvl w:val="0"/>
    </w:pPr>
    <w:rPr>
      <w:rFonts w:eastAsia="Times New Roman"/>
      <w:b/>
      <w:bCs/>
      <w:caps/>
      <w:sz w:val="20"/>
      <w:szCs w:val="28"/>
      <w:lang w:eastAsia="x-none"/>
    </w:rPr>
  </w:style>
  <w:style w:type="paragraph" w:styleId="Ttulo2">
    <w:name w:val="heading 2"/>
    <w:basedOn w:val="AOHeadings"/>
    <w:next w:val="AODocTxt"/>
    <w:link w:val="Ttulo2Car"/>
    <w:uiPriority w:val="9"/>
    <w:semiHidden/>
    <w:unhideWhenUsed/>
    <w:qFormat/>
    <w:rsid w:val="001E7139"/>
    <w:pPr>
      <w:keepNext/>
      <w:outlineLvl w:val="1"/>
    </w:pPr>
    <w:rPr>
      <w:rFonts w:eastAsia="Times New Roman"/>
      <w:b/>
      <w:bCs/>
      <w:sz w:val="20"/>
      <w:szCs w:val="26"/>
      <w:lang w:eastAsia="x-none"/>
    </w:rPr>
  </w:style>
  <w:style w:type="paragraph" w:styleId="Ttulo3">
    <w:name w:val="heading 3"/>
    <w:basedOn w:val="AOHeadings"/>
    <w:next w:val="AODocTxt"/>
    <w:link w:val="Ttulo3Car"/>
    <w:uiPriority w:val="9"/>
    <w:semiHidden/>
    <w:unhideWhenUsed/>
    <w:qFormat/>
    <w:rsid w:val="001E7139"/>
    <w:pPr>
      <w:outlineLvl w:val="2"/>
    </w:pPr>
    <w:rPr>
      <w:rFonts w:eastAsia="Times New Roman"/>
      <w:bCs/>
      <w:sz w:val="20"/>
      <w:szCs w:val="20"/>
      <w:lang w:eastAsia="x-none"/>
    </w:rPr>
  </w:style>
  <w:style w:type="paragraph" w:styleId="Ttulo4">
    <w:name w:val="heading 4"/>
    <w:basedOn w:val="AOHeadings"/>
    <w:next w:val="AODocTxt"/>
    <w:link w:val="Ttulo4Car"/>
    <w:uiPriority w:val="9"/>
    <w:semiHidden/>
    <w:unhideWhenUsed/>
    <w:qFormat/>
    <w:rsid w:val="001E7139"/>
    <w:pPr>
      <w:outlineLvl w:val="3"/>
    </w:pPr>
    <w:rPr>
      <w:rFonts w:eastAsia="Times New Roman"/>
      <w:bCs/>
      <w:iCs/>
      <w:sz w:val="20"/>
      <w:szCs w:val="20"/>
      <w:lang w:eastAsia="x-none"/>
    </w:rPr>
  </w:style>
  <w:style w:type="paragraph" w:styleId="Ttulo5">
    <w:name w:val="heading 5"/>
    <w:basedOn w:val="AOHeadings"/>
    <w:next w:val="AODocTxt"/>
    <w:link w:val="Ttulo5Car"/>
    <w:uiPriority w:val="9"/>
    <w:semiHidden/>
    <w:unhideWhenUsed/>
    <w:qFormat/>
    <w:rsid w:val="001E7139"/>
    <w:pPr>
      <w:outlineLvl w:val="4"/>
    </w:pPr>
    <w:rPr>
      <w:rFonts w:eastAsia="Times New Roman"/>
      <w:sz w:val="20"/>
      <w:szCs w:val="20"/>
      <w:lang w:eastAsia="x-none"/>
    </w:rPr>
  </w:style>
  <w:style w:type="paragraph" w:styleId="Ttulo6">
    <w:name w:val="heading 6"/>
    <w:basedOn w:val="AOHeadings"/>
    <w:next w:val="AODocTxt"/>
    <w:link w:val="Ttulo6Car"/>
    <w:uiPriority w:val="9"/>
    <w:semiHidden/>
    <w:unhideWhenUsed/>
    <w:qFormat/>
    <w:rsid w:val="001E7139"/>
    <w:pPr>
      <w:outlineLvl w:val="5"/>
    </w:pPr>
    <w:rPr>
      <w:rFonts w:eastAsia="Times New Roman"/>
      <w:iCs/>
      <w:sz w:val="20"/>
      <w:szCs w:val="20"/>
      <w:lang w:eastAsia="x-none"/>
    </w:rPr>
  </w:style>
  <w:style w:type="paragraph" w:styleId="Ttulo7">
    <w:name w:val="heading 7"/>
    <w:basedOn w:val="AOHeadings"/>
    <w:next w:val="AODocTxt"/>
    <w:link w:val="Ttulo7Car"/>
    <w:uiPriority w:val="9"/>
    <w:semiHidden/>
    <w:unhideWhenUsed/>
    <w:qFormat/>
    <w:rsid w:val="001E7139"/>
    <w:pPr>
      <w:outlineLvl w:val="6"/>
    </w:pPr>
    <w:rPr>
      <w:rFonts w:eastAsia="Times New Roman"/>
      <w:iCs/>
      <w:sz w:val="20"/>
      <w:szCs w:val="20"/>
      <w:lang w:eastAsia="x-none"/>
    </w:rPr>
  </w:style>
  <w:style w:type="paragraph" w:styleId="Ttulo8">
    <w:name w:val="heading 8"/>
    <w:basedOn w:val="AOHeadings"/>
    <w:next w:val="AODocTxt"/>
    <w:link w:val="Ttulo8Car"/>
    <w:uiPriority w:val="9"/>
    <w:semiHidden/>
    <w:unhideWhenUsed/>
    <w:qFormat/>
    <w:rsid w:val="001E7139"/>
    <w:pPr>
      <w:outlineLvl w:val="7"/>
    </w:pPr>
    <w:rPr>
      <w:rFonts w:eastAsia="Times New Roman"/>
      <w:sz w:val="20"/>
      <w:szCs w:val="20"/>
      <w:lang w:eastAsia="x-none"/>
    </w:rPr>
  </w:style>
  <w:style w:type="paragraph" w:styleId="Ttulo9">
    <w:name w:val="heading 9"/>
    <w:basedOn w:val="AOHeadings"/>
    <w:next w:val="AODocTxt"/>
    <w:link w:val="Ttulo9Car"/>
    <w:uiPriority w:val="9"/>
    <w:semiHidden/>
    <w:unhideWhenUsed/>
    <w:qFormat/>
    <w:rsid w:val="001E7139"/>
    <w:pPr>
      <w:outlineLvl w:val="8"/>
    </w:pPr>
    <w:rPr>
      <w:rFonts w:eastAsia="Times New Roman"/>
      <w:iCs/>
      <w:sz w:val="20"/>
      <w:szCs w:val="20"/>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ONormal">
    <w:name w:val="AONormal"/>
    <w:link w:val="AONormalChar"/>
    <w:rsid w:val="001E7139"/>
    <w:pPr>
      <w:spacing w:line="260" w:lineRule="atLeast"/>
    </w:pPr>
    <w:rPr>
      <w:sz w:val="22"/>
      <w:szCs w:val="22"/>
      <w:lang w:eastAsia="en-US"/>
    </w:rPr>
  </w:style>
  <w:style w:type="paragraph" w:customStyle="1" w:styleId="AOBodyTxt">
    <w:name w:val="AOBodyTxt"/>
    <w:basedOn w:val="AONormal"/>
    <w:next w:val="AODocTxt"/>
    <w:rsid w:val="001E7139"/>
    <w:pPr>
      <w:spacing w:before="240"/>
      <w:jc w:val="both"/>
    </w:pPr>
  </w:style>
  <w:style w:type="paragraph" w:customStyle="1" w:styleId="AODocTxt">
    <w:name w:val="AODocTxt"/>
    <w:basedOn w:val="AOBodyTxt"/>
    <w:rsid w:val="001E7139"/>
  </w:style>
  <w:style w:type="paragraph" w:customStyle="1" w:styleId="AODocTxtL1">
    <w:name w:val="AODocTxtL1"/>
    <w:basedOn w:val="AODocTxt"/>
    <w:rsid w:val="001E7139"/>
    <w:pPr>
      <w:ind w:left="720"/>
    </w:pPr>
  </w:style>
  <w:style w:type="paragraph" w:customStyle="1" w:styleId="AODocTxtL2">
    <w:name w:val="AODocTxtL2"/>
    <w:basedOn w:val="AODocTxt"/>
    <w:rsid w:val="001E7139"/>
    <w:pPr>
      <w:ind w:left="1440"/>
    </w:pPr>
  </w:style>
  <w:style w:type="paragraph" w:customStyle="1" w:styleId="AODocTxtL3">
    <w:name w:val="AODocTxtL3"/>
    <w:basedOn w:val="AODocTxt"/>
    <w:rsid w:val="001E7139"/>
    <w:pPr>
      <w:ind w:left="2160"/>
    </w:pPr>
  </w:style>
  <w:style w:type="paragraph" w:customStyle="1" w:styleId="AODocTxtL4">
    <w:name w:val="AODocTxtL4"/>
    <w:basedOn w:val="AODocTxt"/>
    <w:rsid w:val="001E7139"/>
    <w:pPr>
      <w:ind w:left="2880"/>
    </w:pPr>
  </w:style>
  <w:style w:type="paragraph" w:customStyle="1" w:styleId="AODocTxtL5">
    <w:name w:val="AODocTxtL5"/>
    <w:basedOn w:val="AODocTxt"/>
    <w:rsid w:val="001E7139"/>
    <w:pPr>
      <w:ind w:left="3600"/>
    </w:pPr>
  </w:style>
  <w:style w:type="paragraph" w:customStyle="1" w:styleId="AODocTxtL6">
    <w:name w:val="AODocTxtL6"/>
    <w:basedOn w:val="AODocTxt"/>
    <w:rsid w:val="001E7139"/>
    <w:pPr>
      <w:ind w:left="4320"/>
    </w:pPr>
  </w:style>
  <w:style w:type="paragraph" w:customStyle="1" w:styleId="AODocTxtL7">
    <w:name w:val="AODocTxtL7"/>
    <w:basedOn w:val="AODocTxt"/>
    <w:rsid w:val="001E7139"/>
    <w:pPr>
      <w:ind w:left="5040"/>
    </w:pPr>
  </w:style>
  <w:style w:type="paragraph" w:customStyle="1" w:styleId="AODocTxtL8">
    <w:name w:val="AODocTxtL8"/>
    <w:basedOn w:val="AODocTxt"/>
    <w:rsid w:val="001E7139"/>
    <w:pPr>
      <w:ind w:left="5760"/>
    </w:pPr>
  </w:style>
  <w:style w:type="paragraph" w:customStyle="1" w:styleId="AO1">
    <w:name w:val="AO(1)"/>
    <w:basedOn w:val="AOBodyTxt"/>
    <w:next w:val="AODocTxt"/>
    <w:uiPriority w:val="99"/>
    <w:rsid w:val="001E7139"/>
    <w:pPr>
      <w:numPr>
        <w:numId w:val="2"/>
      </w:numPr>
      <w:tabs>
        <w:tab w:val="clear" w:pos="720"/>
      </w:tabs>
    </w:pPr>
  </w:style>
  <w:style w:type="paragraph" w:customStyle="1" w:styleId="AOA">
    <w:name w:val="AO(A)"/>
    <w:basedOn w:val="AOBodyTxt"/>
    <w:next w:val="AODocTxt"/>
    <w:rsid w:val="001E7139"/>
    <w:pPr>
      <w:numPr>
        <w:numId w:val="3"/>
      </w:numPr>
    </w:pPr>
  </w:style>
  <w:style w:type="paragraph" w:customStyle="1" w:styleId="AOHeadings">
    <w:name w:val="AOHeadings"/>
    <w:basedOn w:val="AOBodyTxt"/>
    <w:next w:val="AODocTxt"/>
    <w:rsid w:val="001E7139"/>
  </w:style>
  <w:style w:type="paragraph" w:customStyle="1" w:styleId="AOHead1">
    <w:name w:val="AOHead1"/>
    <w:basedOn w:val="AOHeadings"/>
    <w:next w:val="AODocTxtL1"/>
    <w:uiPriority w:val="99"/>
    <w:rsid w:val="001E7139"/>
    <w:pPr>
      <w:keepNext/>
      <w:numPr>
        <w:numId w:val="1"/>
      </w:numPr>
      <w:outlineLvl w:val="0"/>
    </w:pPr>
    <w:rPr>
      <w:b/>
      <w:caps/>
      <w:kern w:val="28"/>
    </w:rPr>
  </w:style>
  <w:style w:type="paragraph" w:customStyle="1" w:styleId="AOHead2">
    <w:name w:val="AOHead2"/>
    <w:basedOn w:val="AOHeadings"/>
    <w:next w:val="AODocTxtL1"/>
    <w:uiPriority w:val="99"/>
    <w:rsid w:val="001E7139"/>
    <w:pPr>
      <w:keepNext/>
      <w:numPr>
        <w:ilvl w:val="1"/>
        <w:numId w:val="1"/>
      </w:numPr>
      <w:outlineLvl w:val="1"/>
    </w:pPr>
    <w:rPr>
      <w:b/>
    </w:rPr>
  </w:style>
  <w:style w:type="paragraph" w:customStyle="1" w:styleId="AOHead3">
    <w:name w:val="AOHead3"/>
    <w:basedOn w:val="AOHeadings"/>
    <w:next w:val="AODocTxtL2"/>
    <w:uiPriority w:val="99"/>
    <w:rsid w:val="001E7139"/>
    <w:pPr>
      <w:numPr>
        <w:ilvl w:val="2"/>
        <w:numId w:val="1"/>
      </w:numPr>
      <w:outlineLvl w:val="2"/>
    </w:pPr>
  </w:style>
  <w:style w:type="paragraph" w:customStyle="1" w:styleId="AOHead4">
    <w:name w:val="AOHead4"/>
    <w:basedOn w:val="AOHeadings"/>
    <w:next w:val="AODocTxtL3"/>
    <w:uiPriority w:val="99"/>
    <w:rsid w:val="001E7139"/>
    <w:pPr>
      <w:numPr>
        <w:ilvl w:val="3"/>
        <w:numId w:val="1"/>
      </w:numPr>
      <w:outlineLvl w:val="3"/>
    </w:pPr>
  </w:style>
  <w:style w:type="paragraph" w:customStyle="1" w:styleId="AOHead5">
    <w:name w:val="AOHead5"/>
    <w:basedOn w:val="AOHeadings"/>
    <w:next w:val="AODocTxtL4"/>
    <w:uiPriority w:val="99"/>
    <w:rsid w:val="001E7139"/>
    <w:pPr>
      <w:numPr>
        <w:ilvl w:val="4"/>
        <w:numId w:val="1"/>
      </w:numPr>
      <w:outlineLvl w:val="4"/>
    </w:pPr>
  </w:style>
  <w:style w:type="paragraph" w:customStyle="1" w:styleId="AOHead6">
    <w:name w:val="AOHead6"/>
    <w:basedOn w:val="AOHeadings"/>
    <w:next w:val="AODocTxtL5"/>
    <w:uiPriority w:val="99"/>
    <w:rsid w:val="001E7139"/>
    <w:pPr>
      <w:numPr>
        <w:ilvl w:val="5"/>
        <w:numId w:val="1"/>
      </w:numPr>
      <w:outlineLvl w:val="5"/>
    </w:pPr>
  </w:style>
  <w:style w:type="paragraph" w:customStyle="1" w:styleId="AOAltHead1">
    <w:name w:val="AOAltHead1"/>
    <w:basedOn w:val="AOHead1"/>
    <w:next w:val="AODocTxtL1"/>
    <w:rsid w:val="001E7139"/>
    <w:pPr>
      <w:keepNext w:val="0"/>
      <w:tabs>
        <w:tab w:val="clear" w:pos="720"/>
      </w:tabs>
    </w:pPr>
    <w:rPr>
      <w:b w:val="0"/>
      <w:caps w:val="0"/>
    </w:rPr>
  </w:style>
  <w:style w:type="paragraph" w:customStyle="1" w:styleId="AOAltHead2">
    <w:name w:val="AOAltHead2"/>
    <w:basedOn w:val="AOHead2"/>
    <w:next w:val="AODocTxtL1"/>
    <w:rsid w:val="001E7139"/>
    <w:pPr>
      <w:keepNext w:val="0"/>
      <w:tabs>
        <w:tab w:val="clear" w:pos="720"/>
      </w:tabs>
    </w:pPr>
    <w:rPr>
      <w:b w:val="0"/>
    </w:rPr>
  </w:style>
  <w:style w:type="paragraph" w:customStyle="1" w:styleId="AOAltHead3">
    <w:name w:val="AOAltHead3"/>
    <w:basedOn w:val="AOHead3"/>
    <w:next w:val="AODocTxtL1"/>
    <w:rsid w:val="001E7139"/>
    <w:pPr>
      <w:tabs>
        <w:tab w:val="clear" w:pos="1440"/>
      </w:tabs>
      <w:ind w:left="720"/>
    </w:pPr>
  </w:style>
  <w:style w:type="paragraph" w:customStyle="1" w:styleId="AOAltHead4">
    <w:name w:val="AOAltHead4"/>
    <w:basedOn w:val="AOHead4"/>
    <w:next w:val="AODocTxtL2"/>
    <w:rsid w:val="001E7139"/>
    <w:pPr>
      <w:tabs>
        <w:tab w:val="clear" w:pos="2160"/>
      </w:tabs>
      <w:ind w:left="1440"/>
    </w:pPr>
  </w:style>
  <w:style w:type="paragraph" w:customStyle="1" w:styleId="AOAltHead5">
    <w:name w:val="AOAltHead5"/>
    <w:basedOn w:val="AOHead5"/>
    <w:next w:val="AODocTxtL3"/>
    <w:rsid w:val="001E7139"/>
    <w:pPr>
      <w:tabs>
        <w:tab w:val="clear" w:pos="2880"/>
      </w:tabs>
      <w:ind w:left="2160"/>
    </w:pPr>
  </w:style>
  <w:style w:type="paragraph" w:customStyle="1" w:styleId="AOAltHead6">
    <w:name w:val="AOAltHead6"/>
    <w:basedOn w:val="AOHead6"/>
    <w:next w:val="AODocTxtL4"/>
    <w:rsid w:val="001E7139"/>
    <w:pPr>
      <w:tabs>
        <w:tab w:val="clear" w:pos="3600"/>
      </w:tabs>
      <w:ind w:left="2880"/>
    </w:pPr>
  </w:style>
  <w:style w:type="paragraph" w:customStyle="1" w:styleId="AOHeading1">
    <w:name w:val="AOHeading1"/>
    <w:basedOn w:val="AOHeadings"/>
    <w:next w:val="AODocTxt"/>
    <w:rsid w:val="001E7139"/>
    <w:pPr>
      <w:keepNext/>
      <w:outlineLvl w:val="0"/>
    </w:pPr>
    <w:rPr>
      <w:b/>
      <w:caps/>
      <w:kern w:val="28"/>
    </w:rPr>
  </w:style>
  <w:style w:type="paragraph" w:customStyle="1" w:styleId="AOHeading2">
    <w:name w:val="AOHeading2"/>
    <w:basedOn w:val="AOHeadings"/>
    <w:next w:val="AODocTxt"/>
    <w:rsid w:val="001E7139"/>
    <w:pPr>
      <w:keepNext/>
      <w:outlineLvl w:val="1"/>
    </w:pPr>
    <w:rPr>
      <w:b/>
    </w:rPr>
  </w:style>
  <w:style w:type="paragraph" w:customStyle="1" w:styleId="AOHeading3">
    <w:name w:val="AOHeading3"/>
    <w:basedOn w:val="AOHeadings"/>
    <w:next w:val="AODocTxtL1"/>
    <w:rsid w:val="001E7139"/>
    <w:pPr>
      <w:keepNext/>
      <w:ind w:left="720"/>
      <w:outlineLvl w:val="2"/>
    </w:pPr>
    <w:rPr>
      <w:b/>
    </w:rPr>
  </w:style>
  <w:style w:type="paragraph" w:customStyle="1" w:styleId="AOHeading4">
    <w:name w:val="AOHeading4"/>
    <w:basedOn w:val="AOHeadings"/>
    <w:next w:val="AODocTxt"/>
    <w:rsid w:val="001E7139"/>
    <w:pPr>
      <w:keepNext/>
      <w:outlineLvl w:val="3"/>
    </w:pPr>
    <w:rPr>
      <w:i/>
    </w:rPr>
  </w:style>
  <w:style w:type="paragraph" w:styleId="Encabezado">
    <w:name w:val="header"/>
    <w:basedOn w:val="Normal"/>
    <w:link w:val="EncabezadoCar"/>
    <w:uiPriority w:val="99"/>
    <w:unhideWhenUsed/>
    <w:rsid w:val="001E7139"/>
    <w:pPr>
      <w:tabs>
        <w:tab w:val="center" w:pos="4150"/>
        <w:tab w:val="right" w:pos="8306"/>
      </w:tabs>
    </w:pPr>
    <w:rPr>
      <w:sz w:val="20"/>
      <w:szCs w:val="20"/>
      <w:lang w:val="x-none" w:eastAsia="x-none"/>
    </w:rPr>
  </w:style>
  <w:style w:type="character" w:customStyle="1" w:styleId="EncabezadoCar">
    <w:name w:val="Encabezado Car"/>
    <w:link w:val="Encabezado"/>
    <w:uiPriority w:val="99"/>
    <w:rsid w:val="001E7139"/>
    <w:rPr>
      <w:rFonts w:cs="Times New Roman"/>
    </w:rPr>
  </w:style>
  <w:style w:type="paragraph" w:styleId="Piedepgina">
    <w:name w:val="footer"/>
    <w:basedOn w:val="Normal"/>
    <w:link w:val="PiedepginaCar"/>
    <w:uiPriority w:val="99"/>
    <w:unhideWhenUsed/>
    <w:rsid w:val="001E7139"/>
    <w:pPr>
      <w:tabs>
        <w:tab w:val="center" w:pos="4150"/>
        <w:tab w:val="right" w:pos="8306"/>
      </w:tabs>
    </w:pPr>
    <w:rPr>
      <w:sz w:val="20"/>
      <w:szCs w:val="20"/>
      <w:lang w:val="x-none" w:eastAsia="x-none"/>
    </w:rPr>
  </w:style>
  <w:style w:type="character" w:customStyle="1" w:styleId="PiedepginaCar">
    <w:name w:val="Pie de página Car"/>
    <w:link w:val="Piedepgina"/>
    <w:uiPriority w:val="99"/>
    <w:rsid w:val="001E7139"/>
    <w:rPr>
      <w:rFonts w:cs="Times New Roman"/>
    </w:rPr>
  </w:style>
  <w:style w:type="paragraph" w:customStyle="1" w:styleId="AOAttachments">
    <w:name w:val="AOAttachments"/>
    <w:basedOn w:val="AOBodyTxt"/>
    <w:next w:val="AODocTxt"/>
    <w:rsid w:val="001E7139"/>
    <w:pPr>
      <w:jc w:val="center"/>
    </w:pPr>
    <w:rPr>
      <w:caps/>
    </w:rPr>
  </w:style>
  <w:style w:type="paragraph" w:customStyle="1" w:styleId="AOAppTitle">
    <w:name w:val="AOAppTitle"/>
    <w:basedOn w:val="AOAttachments"/>
    <w:next w:val="AODocTxt"/>
    <w:rsid w:val="001E7139"/>
    <w:pPr>
      <w:outlineLvl w:val="1"/>
    </w:pPr>
    <w:rPr>
      <w:b/>
    </w:rPr>
  </w:style>
  <w:style w:type="paragraph" w:customStyle="1" w:styleId="AOAppPartTitle">
    <w:name w:val="AOAppPartTitle"/>
    <w:basedOn w:val="AOAppTitle"/>
    <w:next w:val="AODocTxt"/>
    <w:rsid w:val="001E7139"/>
  </w:style>
  <w:style w:type="paragraph" w:customStyle="1" w:styleId="AOAppHead">
    <w:name w:val="AOAppHead"/>
    <w:basedOn w:val="AOAttachments"/>
    <w:next w:val="AOAppTitle"/>
    <w:rsid w:val="001E7139"/>
    <w:pPr>
      <w:pageBreakBefore/>
      <w:numPr>
        <w:numId w:val="8"/>
      </w:numPr>
      <w:tabs>
        <w:tab w:val="clear" w:pos="0"/>
      </w:tabs>
      <w:outlineLvl w:val="0"/>
    </w:pPr>
  </w:style>
  <w:style w:type="paragraph" w:customStyle="1" w:styleId="AOAppPartHead">
    <w:name w:val="AOAppPartHead"/>
    <w:basedOn w:val="AOAppHead"/>
    <w:next w:val="AOAppPartTitle"/>
    <w:rsid w:val="001E7139"/>
    <w:pPr>
      <w:pageBreakBefore w:val="0"/>
      <w:numPr>
        <w:ilvl w:val="1"/>
      </w:numPr>
      <w:tabs>
        <w:tab w:val="clear" w:pos="0"/>
      </w:tabs>
    </w:pPr>
  </w:style>
  <w:style w:type="paragraph" w:customStyle="1" w:styleId="AOAnxTitle">
    <w:name w:val="AOAnxTitle"/>
    <w:basedOn w:val="AOAttachments"/>
    <w:next w:val="AODocTxt"/>
    <w:rsid w:val="001E7139"/>
    <w:pPr>
      <w:outlineLvl w:val="1"/>
    </w:pPr>
    <w:rPr>
      <w:b/>
    </w:rPr>
  </w:style>
  <w:style w:type="paragraph" w:customStyle="1" w:styleId="AOAnxPartTitle">
    <w:name w:val="AOAnxPartTitle"/>
    <w:basedOn w:val="AOAnxTitle"/>
    <w:next w:val="AODocTxt"/>
    <w:rsid w:val="001E7139"/>
  </w:style>
  <w:style w:type="paragraph" w:customStyle="1" w:styleId="AOAnxHead">
    <w:name w:val="AOAnxHead"/>
    <w:basedOn w:val="AOAttachments"/>
    <w:next w:val="AOAnxTitle"/>
    <w:rsid w:val="001E7139"/>
    <w:pPr>
      <w:pageBreakBefore/>
      <w:numPr>
        <w:numId w:val="9"/>
      </w:numPr>
      <w:tabs>
        <w:tab w:val="clear" w:pos="0"/>
      </w:tabs>
      <w:outlineLvl w:val="0"/>
    </w:pPr>
  </w:style>
  <w:style w:type="paragraph" w:customStyle="1" w:styleId="AOAnxPartHead">
    <w:name w:val="AOAnxPartHead"/>
    <w:basedOn w:val="AOAnxHead"/>
    <w:next w:val="AOAnxPartTitle"/>
    <w:rsid w:val="001E7139"/>
    <w:pPr>
      <w:pageBreakBefore w:val="0"/>
      <w:numPr>
        <w:ilvl w:val="1"/>
      </w:numPr>
      <w:tabs>
        <w:tab w:val="clear" w:pos="0"/>
      </w:tabs>
    </w:pPr>
  </w:style>
  <w:style w:type="paragraph" w:customStyle="1" w:styleId="AOSchTitle">
    <w:name w:val="AOSchTitle"/>
    <w:basedOn w:val="AOAttachments"/>
    <w:next w:val="AODocTxt"/>
    <w:rsid w:val="001E7139"/>
    <w:pPr>
      <w:outlineLvl w:val="1"/>
    </w:pPr>
    <w:rPr>
      <w:b/>
    </w:rPr>
  </w:style>
  <w:style w:type="paragraph" w:customStyle="1" w:styleId="AOSchPartTitle">
    <w:name w:val="AOSchPartTitle"/>
    <w:basedOn w:val="AOSchTitle"/>
    <w:next w:val="AODocTxt"/>
    <w:rsid w:val="001E7139"/>
  </w:style>
  <w:style w:type="paragraph" w:customStyle="1" w:styleId="AOSchHead">
    <w:name w:val="AOSchHead"/>
    <w:basedOn w:val="AOAttachments"/>
    <w:next w:val="AOSchTitle"/>
    <w:rsid w:val="001E7139"/>
    <w:pPr>
      <w:pageBreakBefore/>
      <w:numPr>
        <w:numId w:val="10"/>
      </w:numPr>
      <w:tabs>
        <w:tab w:val="clear" w:pos="0"/>
      </w:tabs>
      <w:outlineLvl w:val="0"/>
    </w:pPr>
  </w:style>
  <w:style w:type="paragraph" w:customStyle="1" w:styleId="AOSchPartHead">
    <w:name w:val="AOSchPartHead"/>
    <w:basedOn w:val="AOSchHead"/>
    <w:next w:val="AOSchPartTitle"/>
    <w:rsid w:val="001E7139"/>
    <w:pPr>
      <w:pageBreakBefore w:val="0"/>
      <w:numPr>
        <w:ilvl w:val="1"/>
      </w:numPr>
      <w:tabs>
        <w:tab w:val="clear" w:pos="0"/>
      </w:tabs>
    </w:pPr>
  </w:style>
  <w:style w:type="paragraph" w:customStyle="1" w:styleId="AODefHead">
    <w:name w:val="AODefHead"/>
    <w:basedOn w:val="AOBodyTxt"/>
    <w:next w:val="AODefPara"/>
    <w:rsid w:val="001E7139"/>
    <w:pPr>
      <w:numPr>
        <w:numId w:val="7"/>
      </w:numPr>
      <w:tabs>
        <w:tab w:val="clear" w:pos="720"/>
      </w:tabs>
      <w:outlineLvl w:val="5"/>
    </w:pPr>
  </w:style>
  <w:style w:type="paragraph" w:customStyle="1" w:styleId="AODefPara">
    <w:name w:val="AODefPara"/>
    <w:basedOn w:val="AODefHead"/>
    <w:rsid w:val="001E7139"/>
    <w:pPr>
      <w:numPr>
        <w:ilvl w:val="1"/>
      </w:numPr>
      <w:tabs>
        <w:tab w:val="clear" w:pos="720"/>
      </w:tabs>
      <w:outlineLvl w:val="6"/>
    </w:pPr>
  </w:style>
  <w:style w:type="paragraph" w:customStyle="1" w:styleId="AOBullet">
    <w:name w:val="AOBullet"/>
    <w:basedOn w:val="AOBodyTxt"/>
    <w:rsid w:val="001E7139"/>
    <w:pPr>
      <w:numPr>
        <w:numId w:val="11"/>
      </w:numPr>
      <w:tabs>
        <w:tab w:val="clear" w:pos="720"/>
      </w:tabs>
    </w:pPr>
  </w:style>
  <w:style w:type="paragraph" w:customStyle="1" w:styleId="AOBullet2">
    <w:name w:val="AOBullet2"/>
    <w:basedOn w:val="AOBullet"/>
    <w:rsid w:val="001E7139"/>
    <w:pPr>
      <w:numPr>
        <w:numId w:val="12"/>
      </w:numPr>
      <w:tabs>
        <w:tab w:val="clear" w:pos="720"/>
      </w:tabs>
      <w:spacing w:before="120"/>
    </w:pPr>
  </w:style>
  <w:style w:type="paragraph" w:customStyle="1" w:styleId="AOBullet3">
    <w:name w:val="AOBullet3"/>
    <w:basedOn w:val="AOBodyTxt"/>
    <w:rsid w:val="001E7139"/>
    <w:pPr>
      <w:numPr>
        <w:numId w:val="13"/>
      </w:numPr>
      <w:tabs>
        <w:tab w:val="clear" w:pos="720"/>
      </w:tabs>
      <w:spacing w:before="120"/>
    </w:pPr>
  </w:style>
  <w:style w:type="paragraph" w:customStyle="1" w:styleId="AOBullet4">
    <w:name w:val="AOBullet4"/>
    <w:basedOn w:val="AOBodyTxt"/>
    <w:rsid w:val="001E7139"/>
    <w:pPr>
      <w:numPr>
        <w:numId w:val="14"/>
      </w:numPr>
      <w:tabs>
        <w:tab w:val="clear" w:pos="720"/>
      </w:tabs>
      <w:spacing w:before="120"/>
    </w:pPr>
  </w:style>
  <w:style w:type="paragraph" w:customStyle="1" w:styleId="AOGenNum1">
    <w:name w:val="AOGenNum1"/>
    <w:basedOn w:val="AOBodyTxt"/>
    <w:next w:val="AOGenNum1Para"/>
    <w:rsid w:val="001E7139"/>
    <w:pPr>
      <w:keepNext/>
      <w:numPr>
        <w:numId w:val="4"/>
      </w:numPr>
    </w:pPr>
    <w:rPr>
      <w:b/>
      <w:caps/>
    </w:rPr>
  </w:style>
  <w:style w:type="paragraph" w:customStyle="1" w:styleId="AOGenNum1List">
    <w:name w:val="AOGenNum1List"/>
    <w:basedOn w:val="AOGenNum1"/>
    <w:rsid w:val="001E7139"/>
    <w:pPr>
      <w:keepNext w:val="0"/>
      <w:numPr>
        <w:ilvl w:val="2"/>
      </w:numPr>
    </w:pPr>
    <w:rPr>
      <w:b w:val="0"/>
      <w:caps w:val="0"/>
    </w:rPr>
  </w:style>
  <w:style w:type="paragraph" w:customStyle="1" w:styleId="AOGenNum1Para">
    <w:name w:val="AOGenNum1Para"/>
    <w:basedOn w:val="AOGenNum1"/>
    <w:next w:val="AOGenNum1List"/>
    <w:rsid w:val="001E7139"/>
    <w:pPr>
      <w:numPr>
        <w:ilvl w:val="1"/>
      </w:numPr>
    </w:pPr>
    <w:rPr>
      <w:caps w:val="0"/>
    </w:rPr>
  </w:style>
  <w:style w:type="paragraph" w:customStyle="1" w:styleId="AOGenNum2">
    <w:name w:val="AOGenNum2"/>
    <w:basedOn w:val="AOBodyTxt"/>
    <w:next w:val="AOGenNum2Para"/>
    <w:rsid w:val="001E7139"/>
    <w:pPr>
      <w:keepNext/>
      <w:numPr>
        <w:numId w:val="5"/>
      </w:numPr>
    </w:pPr>
    <w:rPr>
      <w:b/>
    </w:rPr>
  </w:style>
  <w:style w:type="paragraph" w:customStyle="1" w:styleId="AOGenNum2List">
    <w:name w:val="AOGenNum2List"/>
    <w:basedOn w:val="AOGenNum2"/>
    <w:rsid w:val="001E7139"/>
    <w:pPr>
      <w:keepNext w:val="0"/>
      <w:numPr>
        <w:ilvl w:val="2"/>
      </w:numPr>
    </w:pPr>
    <w:rPr>
      <w:b w:val="0"/>
    </w:rPr>
  </w:style>
  <w:style w:type="paragraph" w:customStyle="1" w:styleId="AOGenNum2Para">
    <w:name w:val="AOGenNum2Para"/>
    <w:basedOn w:val="AOGenNum2"/>
    <w:next w:val="AOGenNum2List"/>
    <w:rsid w:val="001E7139"/>
    <w:pPr>
      <w:keepNext w:val="0"/>
      <w:numPr>
        <w:ilvl w:val="1"/>
      </w:numPr>
    </w:pPr>
    <w:rPr>
      <w:b w:val="0"/>
    </w:rPr>
  </w:style>
  <w:style w:type="paragraph" w:customStyle="1" w:styleId="AOGenNum3">
    <w:name w:val="AOGenNum3"/>
    <w:basedOn w:val="AOBodyTxt"/>
    <w:next w:val="AOGenNum3List"/>
    <w:rsid w:val="001E7139"/>
    <w:pPr>
      <w:numPr>
        <w:numId w:val="6"/>
      </w:numPr>
    </w:pPr>
  </w:style>
  <w:style w:type="paragraph" w:customStyle="1" w:styleId="AOGenNum3List">
    <w:name w:val="AOGenNum3List"/>
    <w:basedOn w:val="AOGenNum3"/>
    <w:rsid w:val="001E7139"/>
    <w:pPr>
      <w:numPr>
        <w:ilvl w:val="1"/>
      </w:numPr>
    </w:pPr>
  </w:style>
  <w:style w:type="paragraph" w:customStyle="1" w:styleId="AOTitle">
    <w:name w:val="AOTitle"/>
    <w:basedOn w:val="AOHeadings"/>
    <w:next w:val="AODocTxt"/>
    <w:rsid w:val="001E7139"/>
    <w:pPr>
      <w:jc w:val="center"/>
    </w:pPr>
    <w:rPr>
      <w:b/>
      <w:caps/>
    </w:rPr>
  </w:style>
  <w:style w:type="paragraph" w:customStyle="1" w:styleId="AOTOCHeading">
    <w:name w:val="AOTOCHeading"/>
    <w:basedOn w:val="AOHeadings"/>
    <w:next w:val="AODocTxt"/>
    <w:rsid w:val="001E7139"/>
    <w:pPr>
      <w:tabs>
        <w:tab w:val="right" w:pos="9609"/>
      </w:tabs>
      <w:spacing w:after="240"/>
    </w:pPr>
    <w:rPr>
      <w:b/>
    </w:rPr>
  </w:style>
  <w:style w:type="paragraph" w:customStyle="1" w:styleId="AOTOCs">
    <w:name w:val="AOTOCs"/>
    <w:basedOn w:val="AONormal"/>
    <w:next w:val="TDC1"/>
    <w:rsid w:val="001E7139"/>
    <w:pPr>
      <w:tabs>
        <w:tab w:val="right" w:leader="dot" w:pos="9638"/>
      </w:tabs>
      <w:jc w:val="both"/>
    </w:pPr>
  </w:style>
  <w:style w:type="paragraph" w:styleId="TDC1">
    <w:name w:val="toc 1"/>
    <w:basedOn w:val="AOTOCs"/>
    <w:next w:val="AONormal"/>
    <w:autoRedefine/>
    <w:uiPriority w:val="39"/>
    <w:semiHidden/>
    <w:unhideWhenUsed/>
    <w:rsid w:val="001E7139"/>
    <w:pPr>
      <w:tabs>
        <w:tab w:val="left" w:pos="720"/>
      </w:tabs>
      <w:ind w:left="720" w:hanging="720"/>
    </w:pPr>
  </w:style>
  <w:style w:type="paragraph" w:customStyle="1" w:styleId="AOTOC1">
    <w:name w:val="AOTOC1"/>
    <w:basedOn w:val="AOTOCs"/>
    <w:rsid w:val="001E7139"/>
    <w:pPr>
      <w:tabs>
        <w:tab w:val="left" w:pos="720"/>
      </w:tabs>
    </w:pPr>
    <w:rPr>
      <w:b/>
      <w:caps/>
    </w:rPr>
  </w:style>
  <w:style w:type="paragraph" w:customStyle="1" w:styleId="AOTOC2">
    <w:name w:val="AOTOC2"/>
    <w:basedOn w:val="AOTOCs"/>
    <w:rsid w:val="001E7139"/>
    <w:pPr>
      <w:tabs>
        <w:tab w:val="left" w:pos="720"/>
      </w:tabs>
    </w:pPr>
  </w:style>
  <w:style w:type="paragraph" w:customStyle="1" w:styleId="AOTOC3">
    <w:name w:val="AOTOC3"/>
    <w:basedOn w:val="AOTOCs"/>
    <w:rsid w:val="001E7139"/>
    <w:pPr>
      <w:ind w:left="720"/>
    </w:pPr>
    <w:rPr>
      <w:b/>
    </w:rPr>
  </w:style>
  <w:style w:type="paragraph" w:customStyle="1" w:styleId="AOTOC4">
    <w:name w:val="AOTOC4"/>
    <w:basedOn w:val="AOTOCs"/>
    <w:rsid w:val="001E7139"/>
    <w:pPr>
      <w:ind w:left="720"/>
    </w:pPr>
  </w:style>
  <w:style w:type="paragraph" w:customStyle="1" w:styleId="AOTOC5">
    <w:name w:val="AOTOC5"/>
    <w:basedOn w:val="AOTOCs"/>
    <w:rsid w:val="001E7139"/>
    <w:pPr>
      <w:ind w:left="720"/>
    </w:pPr>
    <w:rPr>
      <w:i/>
    </w:rPr>
  </w:style>
  <w:style w:type="paragraph" w:styleId="TDC2">
    <w:name w:val="toc 2"/>
    <w:basedOn w:val="AOTOCs"/>
    <w:next w:val="AONormal"/>
    <w:autoRedefine/>
    <w:uiPriority w:val="39"/>
    <w:semiHidden/>
    <w:unhideWhenUsed/>
    <w:rsid w:val="001E7139"/>
    <w:pPr>
      <w:tabs>
        <w:tab w:val="left" w:pos="1797"/>
      </w:tabs>
      <w:ind w:left="1797" w:right="720" w:hanging="1077"/>
    </w:pPr>
  </w:style>
  <w:style w:type="paragraph" w:styleId="TDC3">
    <w:name w:val="toc 3"/>
    <w:basedOn w:val="AOTOCs"/>
    <w:next w:val="AONormal"/>
    <w:autoRedefine/>
    <w:uiPriority w:val="39"/>
    <w:semiHidden/>
    <w:unhideWhenUsed/>
    <w:rsid w:val="001E7139"/>
    <w:pPr>
      <w:numPr>
        <w:numId w:val="15"/>
      </w:numPr>
      <w:ind w:right="720"/>
    </w:pPr>
  </w:style>
  <w:style w:type="paragraph" w:styleId="TDC4">
    <w:name w:val="toc 4"/>
    <w:basedOn w:val="AOTOCs"/>
    <w:next w:val="AONormal"/>
    <w:autoRedefine/>
    <w:uiPriority w:val="39"/>
    <w:semiHidden/>
    <w:unhideWhenUsed/>
    <w:rsid w:val="001E7139"/>
    <w:pPr>
      <w:numPr>
        <w:ilvl w:val="1"/>
        <w:numId w:val="15"/>
      </w:numPr>
      <w:tabs>
        <w:tab w:val="left" w:pos="1797"/>
      </w:tabs>
      <w:ind w:right="720"/>
    </w:pPr>
  </w:style>
  <w:style w:type="paragraph" w:styleId="TDC5">
    <w:name w:val="toc 5"/>
    <w:basedOn w:val="AOTOCs"/>
    <w:next w:val="AONormal"/>
    <w:autoRedefine/>
    <w:uiPriority w:val="39"/>
    <w:semiHidden/>
    <w:unhideWhenUsed/>
    <w:rsid w:val="001E7139"/>
    <w:pPr>
      <w:spacing w:before="240"/>
    </w:pPr>
  </w:style>
  <w:style w:type="paragraph" w:styleId="TDC6">
    <w:name w:val="toc 6"/>
    <w:basedOn w:val="AOTOCs"/>
    <w:next w:val="AONormal"/>
    <w:autoRedefine/>
    <w:uiPriority w:val="39"/>
    <w:semiHidden/>
    <w:unhideWhenUsed/>
    <w:rsid w:val="001E7139"/>
    <w:pPr>
      <w:numPr>
        <w:numId w:val="16"/>
      </w:numPr>
      <w:ind w:right="720"/>
    </w:pPr>
  </w:style>
  <w:style w:type="paragraph" w:styleId="TDC7">
    <w:name w:val="toc 7"/>
    <w:basedOn w:val="AOTOCs"/>
    <w:next w:val="AONormal"/>
    <w:autoRedefine/>
    <w:uiPriority w:val="39"/>
    <w:semiHidden/>
    <w:unhideWhenUsed/>
    <w:rsid w:val="001E7139"/>
    <w:pPr>
      <w:numPr>
        <w:ilvl w:val="1"/>
        <w:numId w:val="16"/>
      </w:numPr>
      <w:tabs>
        <w:tab w:val="left" w:pos="1797"/>
      </w:tabs>
      <w:ind w:right="720"/>
    </w:pPr>
  </w:style>
  <w:style w:type="paragraph" w:styleId="TDC8">
    <w:name w:val="toc 8"/>
    <w:basedOn w:val="AOTOCs"/>
    <w:next w:val="AONormal"/>
    <w:autoRedefine/>
    <w:uiPriority w:val="39"/>
    <w:semiHidden/>
    <w:unhideWhenUsed/>
    <w:rsid w:val="001E7139"/>
    <w:pPr>
      <w:numPr>
        <w:numId w:val="17"/>
      </w:numPr>
      <w:ind w:right="720"/>
    </w:pPr>
  </w:style>
  <w:style w:type="paragraph" w:styleId="TDC9">
    <w:name w:val="toc 9"/>
    <w:basedOn w:val="AOTOCs"/>
    <w:next w:val="AONormal"/>
    <w:autoRedefine/>
    <w:uiPriority w:val="39"/>
    <w:semiHidden/>
    <w:unhideWhenUsed/>
    <w:rsid w:val="001E7139"/>
    <w:pPr>
      <w:numPr>
        <w:ilvl w:val="1"/>
        <w:numId w:val="17"/>
      </w:numPr>
      <w:tabs>
        <w:tab w:val="left" w:pos="1797"/>
      </w:tabs>
      <w:ind w:right="720"/>
    </w:pPr>
  </w:style>
  <w:style w:type="paragraph" w:styleId="Textonotapie">
    <w:name w:val="footnote text"/>
    <w:basedOn w:val="AONormal"/>
    <w:link w:val="TextonotapieCar"/>
    <w:uiPriority w:val="99"/>
    <w:semiHidden/>
    <w:unhideWhenUsed/>
    <w:rsid w:val="001E7139"/>
    <w:pPr>
      <w:spacing w:line="240" w:lineRule="auto"/>
      <w:ind w:left="720" w:hanging="720"/>
      <w:jc w:val="both"/>
    </w:pPr>
    <w:rPr>
      <w:sz w:val="16"/>
      <w:szCs w:val="20"/>
      <w:lang w:eastAsia="x-none"/>
    </w:rPr>
  </w:style>
  <w:style w:type="character" w:customStyle="1" w:styleId="TextonotapieCar">
    <w:name w:val="Texto nota pie Car"/>
    <w:link w:val="Textonotapie"/>
    <w:uiPriority w:val="99"/>
    <w:semiHidden/>
    <w:rsid w:val="001E7139"/>
    <w:rPr>
      <w:rFonts w:cs="Times New Roman"/>
      <w:sz w:val="16"/>
      <w:szCs w:val="20"/>
    </w:rPr>
  </w:style>
  <w:style w:type="paragraph" w:customStyle="1" w:styleId="AOFPBP">
    <w:name w:val="AOFPBP"/>
    <w:basedOn w:val="AONormal"/>
    <w:next w:val="AOFPTxt"/>
    <w:rsid w:val="001E7139"/>
    <w:pPr>
      <w:jc w:val="center"/>
    </w:pPr>
  </w:style>
  <w:style w:type="paragraph" w:customStyle="1" w:styleId="AOFPTxt">
    <w:name w:val="AOFPTxt"/>
    <w:basedOn w:val="AOFPBP"/>
    <w:rsid w:val="001E7139"/>
    <w:rPr>
      <w:b/>
    </w:rPr>
  </w:style>
  <w:style w:type="paragraph" w:customStyle="1" w:styleId="AOBPTitle">
    <w:name w:val="AOBPTitle"/>
    <w:basedOn w:val="AOFPBP"/>
    <w:rsid w:val="001E7139"/>
    <w:rPr>
      <w:b/>
      <w:caps/>
    </w:rPr>
  </w:style>
  <w:style w:type="paragraph" w:customStyle="1" w:styleId="AOBPTxtC">
    <w:name w:val="AOBPTxtC"/>
    <w:basedOn w:val="AOFPBP"/>
    <w:rsid w:val="001E7139"/>
  </w:style>
  <w:style w:type="paragraph" w:customStyle="1" w:styleId="AOBPTxtL">
    <w:name w:val="AOBPTxtL"/>
    <w:basedOn w:val="AOFPBP"/>
    <w:rsid w:val="001E7139"/>
    <w:pPr>
      <w:jc w:val="left"/>
    </w:pPr>
  </w:style>
  <w:style w:type="paragraph" w:customStyle="1" w:styleId="AOBPTxtR">
    <w:name w:val="AOBPTxtR"/>
    <w:basedOn w:val="AOFPBP"/>
    <w:rsid w:val="001E7139"/>
    <w:pPr>
      <w:jc w:val="right"/>
    </w:pPr>
  </w:style>
  <w:style w:type="paragraph" w:customStyle="1" w:styleId="AOLocation">
    <w:name w:val="AOLocation"/>
    <w:basedOn w:val="AOFPBP"/>
    <w:rsid w:val="001E7139"/>
    <w:pPr>
      <w:spacing w:before="160"/>
    </w:pPr>
    <w:rPr>
      <w:b/>
      <w:caps/>
    </w:rPr>
  </w:style>
  <w:style w:type="paragraph" w:customStyle="1" w:styleId="AOFPTxtCaps">
    <w:name w:val="AOFPTxtCaps"/>
    <w:basedOn w:val="AOFPTxt"/>
    <w:rsid w:val="001E7139"/>
    <w:rPr>
      <w:caps/>
    </w:rPr>
  </w:style>
  <w:style w:type="paragraph" w:customStyle="1" w:styleId="AOFPTitle">
    <w:name w:val="AOFPTitle"/>
    <w:basedOn w:val="AOFPTxt"/>
    <w:rsid w:val="001E7139"/>
    <w:rPr>
      <w:caps/>
      <w:sz w:val="32"/>
    </w:rPr>
  </w:style>
  <w:style w:type="paragraph" w:customStyle="1" w:styleId="AOFPDate">
    <w:name w:val="AOFPDate"/>
    <w:basedOn w:val="AOFPTxt"/>
    <w:rsid w:val="001E7139"/>
    <w:rPr>
      <w:caps/>
    </w:rPr>
  </w:style>
  <w:style w:type="paragraph" w:customStyle="1" w:styleId="AOFPCopyright">
    <w:name w:val="AOFPCopyright"/>
    <w:basedOn w:val="AOFPTxt"/>
    <w:rsid w:val="001E7139"/>
    <w:pPr>
      <w:jc w:val="left"/>
    </w:pPr>
    <w:rPr>
      <w:caps/>
    </w:rPr>
  </w:style>
  <w:style w:type="paragraph" w:customStyle="1" w:styleId="AOHeading5">
    <w:name w:val="AOHeading5"/>
    <w:basedOn w:val="AOHeadings"/>
    <w:next w:val="AODocTxtL1"/>
    <w:rsid w:val="001E7139"/>
    <w:pPr>
      <w:keepNext/>
      <w:ind w:left="720"/>
      <w:outlineLvl w:val="4"/>
    </w:pPr>
    <w:rPr>
      <w:i/>
    </w:rPr>
  </w:style>
  <w:style w:type="paragraph" w:customStyle="1" w:styleId="AOHeading6">
    <w:name w:val="AOHeading6"/>
    <w:basedOn w:val="AOHeadings"/>
    <w:next w:val="AODocTxt"/>
    <w:rsid w:val="001E7139"/>
    <w:pPr>
      <w:keepNext/>
      <w:outlineLvl w:val="5"/>
    </w:pPr>
    <w:rPr>
      <w:b/>
      <w:i/>
    </w:rPr>
  </w:style>
  <w:style w:type="paragraph" w:customStyle="1" w:styleId="AOHeading7">
    <w:name w:val="AOHeading7"/>
    <w:basedOn w:val="AOHeadings"/>
    <w:next w:val="AODocTxtL1"/>
    <w:rsid w:val="001E7139"/>
    <w:pPr>
      <w:keepNext/>
      <w:ind w:left="720"/>
      <w:outlineLvl w:val="6"/>
    </w:pPr>
    <w:rPr>
      <w:b/>
      <w:i/>
    </w:rPr>
  </w:style>
  <w:style w:type="paragraph" w:customStyle="1" w:styleId="AONormal10">
    <w:name w:val="AONormal10"/>
    <w:basedOn w:val="AONormal"/>
    <w:rsid w:val="001E7139"/>
    <w:rPr>
      <w:sz w:val="20"/>
    </w:rPr>
  </w:style>
  <w:style w:type="paragraph" w:customStyle="1" w:styleId="AONormal8L">
    <w:name w:val="AONormal8L"/>
    <w:basedOn w:val="AONormal"/>
    <w:rsid w:val="001E7139"/>
    <w:pPr>
      <w:spacing w:line="220" w:lineRule="atLeast"/>
    </w:pPr>
    <w:rPr>
      <w:rFonts w:ascii="Arial" w:hAnsi="Arial" w:cs="Arial"/>
      <w:sz w:val="16"/>
    </w:rPr>
  </w:style>
  <w:style w:type="paragraph" w:customStyle="1" w:styleId="AONormal8LBold">
    <w:name w:val="AONormal8LBold"/>
    <w:basedOn w:val="AONormal8L"/>
    <w:rsid w:val="001E7139"/>
    <w:rPr>
      <w:b/>
    </w:rPr>
  </w:style>
  <w:style w:type="paragraph" w:customStyle="1" w:styleId="AONormal8C">
    <w:name w:val="AONormal8C"/>
    <w:basedOn w:val="AONormal8L"/>
    <w:rsid w:val="001E7139"/>
    <w:pPr>
      <w:jc w:val="center"/>
    </w:pPr>
  </w:style>
  <w:style w:type="paragraph" w:customStyle="1" w:styleId="AONormal8R">
    <w:name w:val="AONormal8R"/>
    <w:basedOn w:val="AONormal8L"/>
    <w:rsid w:val="001E7139"/>
    <w:pPr>
      <w:jc w:val="right"/>
    </w:pPr>
  </w:style>
  <w:style w:type="paragraph" w:customStyle="1" w:styleId="AONormalBold">
    <w:name w:val="AONormalBold"/>
    <w:basedOn w:val="AONormal"/>
    <w:rsid w:val="001E7139"/>
    <w:rPr>
      <w:b/>
    </w:rPr>
  </w:style>
  <w:style w:type="paragraph" w:customStyle="1" w:styleId="AONormal6L">
    <w:name w:val="AONormal6L"/>
    <w:basedOn w:val="AONormal8L"/>
    <w:rsid w:val="001E7139"/>
    <w:pPr>
      <w:spacing w:line="160" w:lineRule="atLeast"/>
      <w:jc w:val="both"/>
    </w:pPr>
    <w:rPr>
      <w:sz w:val="12"/>
    </w:rPr>
  </w:style>
  <w:style w:type="paragraph" w:customStyle="1" w:styleId="AONormal6C">
    <w:name w:val="AONormal6C"/>
    <w:basedOn w:val="AONormal6L"/>
    <w:rsid w:val="001E7139"/>
    <w:pPr>
      <w:jc w:val="center"/>
    </w:pPr>
  </w:style>
  <w:style w:type="paragraph" w:customStyle="1" w:styleId="AONormal6R">
    <w:name w:val="AONormal6R"/>
    <w:basedOn w:val="AONormal6L"/>
    <w:rsid w:val="001E7139"/>
    <w:pPr>
      <w:jc w:val="right"/>
    </w:pPr>
  </w:style>
  <w:style w:type="paragraph" w:customStyle="1" w:styleId="AOTitle18">
    <w:name w:val="AOTitle18"/>
    <w:basedOn w:val="AONormal"/>
    <w:rsid w:val="001E7139"/>
    <w:rPr>
      <w:b/>
      <w:sz w:val="36"/>
    </w:rPr>
  </w:style>
  <w:style w:type="paragraph" w:customStyle="1" w:styleId="AOSignatory">
    <w:name w:val="AOSignatory"/>
    <w:basedOn w:val="AOBodyTxt"/>
    <w:next w:val="AODocTxt"/>
    <w:rsid w:val="001E7139"/>
    <w:pPr>
      <w:pageBreakBefore/>
      <w:spacing w:after="240"/>
      <w:jc w:val="center"/>
    </w:pPr>
    <w:rPr>
      <w:b/>
      <w:caps/>
    </w:rPr>
  </w:style>
  <w:style w:type="paragraph" w:customStyle="1" w:styleId="AOTOCTitle">
    <w:name w:val="AOTOCTitle"/>
    <w:basedOn w:val="AOHeadings"/>
    <w:next w:val="AOTOCHeading"/>
    <w:rsid w:val="001E7139"/>
    <w:pPr>
      <w:jc w:val="center"/>
    </w:pPr>
    <w:rPr>
      <w:b/>
      <w:caps/>
    </w:rPr>
  </w:style>
  <w:style w:type="paragraph" w:customStyle="1" w:styleId="AOHidden">
    <w:name w:val="AOHidden"/>
    <w:basedOn w:val="AONormal"/>
    <w:rsid w:val="001E7139"/>
    <w:pPr>
      <w:spacing w:before="240"/>
      <w:jc w:val="both"/>
    </w:pPr>
    <w:rPr>
      <w:vanish/>
    </w:rPr>
  </w:style>
  <w:style w:type="paragraph" w:styleId="Textocomentario">
    <w:name w:val="annotation text"/>
    <w:basedOn w:val="AONormal"/>
    <w:link w:val="TextocomentarioCar"/>
    <w:uiPriority w:val="99"/>
    <w:semiHidden/>
    <w:unhideWhenUsed/>
    <w:rsid w:val="001E7139"/>
    <w:pPr>
      <w:spacing w:line="240" w:lineRule="auto"/>
    </w:pPr>
    <w:rPr>
      <w:sz w:val="16"/>
      <w:szCs w:val="20"/>
      <w:lang w:eastAsia="x-none"/>
    </w:rPr>
  </w:style>
  <w:style w:type="character" w:customStyle="1" w:styleId="TextocomentarioCar">
    <w:name w:val="Texto comentario Car"/>
    <w:link w:val="Textocomentario"/>
    <w:uiPriority w:val="99"/>
    <w:semiHidden/>
    <w:rsid w:val="001E7139"/>
    <w:rPr>
      <w:rFonts w:cs="Times New Roman"/>
      <w:sz w:val="16"/>
      <w:szCs w:val="20"/>
    </w:rPr>
  </w:style>
  <w:style w:type="paragraph" w:styleId="Textonotaalfinal">
    <w:name w:val="endnote text"/>
    <w:basedOn w:val="AONormal"/>
    <w:link w:val="TextonotaalfinalCar"/>
    <w:uiPriority w:val="99"/>
    <w:semiHidden/>
    <w:unhideWhenUsed/>
    <w:rsid w:val="001E7139"/>
    <w:pPr>
      <w:spacing w:line="240" w:lineRule="auto"/>
      <w:ind w:left="720" w:hanging="720"/>
      <w:jc w:val="both"/>
    </w:pPr>
    <w:rPr>
      <w:sz w:val="16"/>
      <w:szCs w:val="20"/>
      <w:lang w:eastAsia="x-none"/>
    </w:rPr>
  </w:style>
  <w:style w:type="character" w:customStyle="1" w:styleId="TextonotaalfinalCar">
    <w:name w:val="Texto nota al final Car"/>
    <w:link w:val="Textonotaalfinal"/>
    <w:uiPriority w:val="99"/>
    <w:semiHidden/>
    <w:rsid w:val="001E7139"/>
    <w:rPr>
      <w:rFonts w:cs="Times New Roman"/>
      <w:sz w:val="16"/>
      <w:szCs w:val="20"/>
    </w:rPr>
  </w:style>
  <w:style w:type="character" w:customStyle="1" w:styleId="Ttulo1Car">
    <w:name w:val="Título 1 Car"/>
    <w:link w:val="Ttulo1"/>
    <w:uiPriority w:val="9"/>
    <w:rsid w:val="001E7139"/>
    <w:rPr>
      <w:rFonts w:eastAsia="Times New Roman" w:cs="Times New Roman"/>
      <w:b/>
      <w:bCs/>
      <w:caps/>
      <w:szCs w:val="28"/>
    </w:rPr>
  </w:style>
  <w:style w:type="character" w:customStyle="1" w:styleId="Ttulo2Car">
    <w:name w:val="Título 2 Car"/>
    <w:link w:val="Ttulo2"/>
    <w:uiPriority w:val="9"/>
    <w:semiHidden/>
    <w:rsid w:val="001E7139"/>
    <w:rPr>
      <w:rFonts w:eastAsia="Times New Roman" w:cs="Times New Roman"/>
      <w:b/>
      <w:bCs/>
      <w:szCs w:val="26"/>
    </w:rPr>
  </w:style>
  <w:style w:type="character" w:customStyle="1" w:styleId="Ttulo3Car">
    <w:name w:val="Título 3 Car"/>
    <w:link w:val="Ttulo3"/>
    <w:uiPriority w:val="9"/>
    <w:semiHidden/>
    <w:rsid w:val="001E7139"/>
    <w:rPr>
      <w:rFonts w:eastAsia="Times New Roman" w:cs="Times New Roman"/>
      <w:bCs/>
    </w:rPr>
  </w:style>
  <w:style w:type="character" w:customStyle="1" w:styleId="Ttulo4Car">
    <w:name w:val="Título 4 Car"/>
    <w:link w:val="Ttulo4"/>
    <w:uiPriority w:val="9"/>
    <w:semiHidden/>
    <w:rsid w:val="001E7139"/>
    <w:rPr>
      <w:rFonts w:eastAsia="Times New Roman" w:cs="Times New Roman"/>
      <w:bCs/>
      <w:iCs/>
    </w:rPr>
  </w:style>
  <w:style w:type="character" w:customStyle="1" w:styleId="Ttulo5Car">
    <w:name w:val="Título 5 Car"/>
    <w:link w:val="Ttulo5"/>
    <w:uiPriority w:val="9"/>
    <w:semiHidden/>
    <w:rsid w:val="001E7139"/>
    <w:rPr>
      <w:rFonts w:eastAsia="Times New Roman" w:cs="Times New Roman"/>
    </w:rPr>
  </w:style>
  <w:style w:type="character" w:customStyle="1" w:styleId="Ttulo6Car">
    <w:name w:val="Título 6 Car"/>
    <w:link w:val="Ttulo6"/>
    <w:uiPriority w:val="9"/>
    <w:semiHidden/>
    <w:rsid w:val="001E7139"/>
    <w:rPr>
      <w:rFonts w:eastAsia="Times New Roman" w:cs="Times New Roman"/>
      <w:iCs/>
    </w:rPr>
  </w:style>
  <w:style w:type="character" w:customStyle="1" w:styleId="Ttulo7Car">
    <w:name w:val="Título 7 Car"/>
    <w:link w:val="Ttulo7"/>
    <w:uiPriority w:val="9"/>
    <w:semiHidden/>
    <w:rsid w:val="001E7139"/>
    <w:rPr>
      <w:rFonts w:eastAsia="Times New Roman" w:cs="Times New Roman"/>
      <w:iCs/>
    </w:rPr>
  </w:style>
  <w:style w:type="character" w:customStyle="1" w:styleId="Ttulo8Car">
    <w:name w:val="Título 8 Car"/>
    <w:link w:val="Ttulo8"/>
    <w:uiPriority w:val="9"/>
    <w:semiHidden/>
    <w:rsid w:val="001E7139"/>
    <w:rPr>
      <w:rFonts w:eastAsia="Times New Roman" w:cs="Times New Roman"/>
      <w:szCs w:val="20"/>
    </w:rPr>
  </w:style>
  <w:style w:type="character" w:customStyle="1" w:styleId="Ttulo9Car">
    <w:name w:val="Título 9 Car"/>
    <w:link w:val="Ttulo9"/>
    <w:uiPriority w:val="9"/>
    <w:semiHidden/>
    <w:rsid w:val="001E7139"/>
    <w:rPr>
      <w:rFonts w:eastAsia="Times New Roman" w:cs="Times New Roman"/>
      <w:iCs/>
      <w:szCs w:val="20"/>
    </w:rPr>
  </w:style>
  <w:style w:type="paragraph" w:styleId="Encabezadodelista">
    <w:name w:val="toa heading"/>
    <w:basedOn w:val="AONormal"/>
    <w:next w:val="Textoconsangra"/>
    <w:uiPriority w:val="99"/>
    <w:semiHidden/>
    <w:unhideWhenUsed/>
    <w:rsid w:val="001E7139"/>
    <w:pPr>
      <w:tabs>
        <w:tab w:val="right" w:leader="dot" w:pos="9490"/>
      </w:tabs>
      <w:spacing w:before="240" w:after="120" w:line="240" w:lineRule="auto"/>
    </w:pPr>
    <w:rPr>
      <w:rFonts w:eastAsia="Times New Roman"/>
      <w:b/>
      <w:bCs/>
      <w:szCs w:val="24"/>
    </w:rPr>
  </w:style>
  <w:style w:type="paragraph" w:styleId="Textoconsangra">
    <w:name w:val="table of authorities"/>
    <w:basedOn w:val="AONormal"/>
    <w:uiPriority w:val="99"/>
    <w:semiHidden/>
    <w:unhideWhenUsed/>
    <w:rsid w:val="001E7139"/>
    <w:pPr>
      <w:tabs>
        <w:tab w:val="right" w:leader="dot" w:pos="9490"/>
      </w:tabs>
      <w:spacing w:before="240" w:line="240" w:lineRule="auto"/>
      <w:ind w:left="720" w:hanging="720"/>
    </w:pPr>
  </w:style>
  <w:style w:type="paragraph" w:styleId="Direccinsobre">
    <w:name w:val="envelope address"/>
    <w:basedOn w:val="Normal"/>
    <w:uiPriority w:val="99"/>
    <w:semiHidden/>
    <w:rsid w:val="00CA6867"/>
    <w:pPr>
      <w:ind w:left="2880"/>
    </w:pPr>
    <w:rPr>
      <w:rFonts w:eastAsia="Times New Roman"/>
      <w:szCs w:val="24"/>
    </w:rPr>
  </w:style>
  <w:style w:type="paragraph" w:styleId="Remitedesobre">
    <w:name w:val="envelope return"/>
    <w:basedOn w:val="Normal"/>
    <w:uiPriority w:val="99"/>
    <w:semiHidden/>
    <w:unhideWhenUsed/>
    <w:rsid w:val="001E7139"/>
    <w:rPr>
      <w:rFonts w:eastAsia="Times New Roman"/>
      <w:sz w:val="20"/>
      <w:szCs w:val="20"/>
    </w:rPr>
  </w:style>
  <w:style w:type="paragraph" w:customStyle="1" w:styleId="AOListNumber">
    <w:name w:val="AOListNumber"/>
    <w:basedOn w:val="AOBodyTxt"/>
    <w:rsid w:val="001E7139"/>
    <w:pPr>
      <w:numPr>
        <w:numId w:val="18"/>
      </w:numPr>
      <w:tabs>
        <w:tab w:val="clear" w:pos="720"/>
      </w:tabs>
    </w:pPr>
  </w:style>
  <w:style w:type="character" w:styleId="Textodelmarcadordeposicin">
    <w:name w:val="Placeholder Text"/>
    <w:uiPriority w:val="99"/>
    <w:semiHidden/>
    <w:rsid w:val="001E7139"/>
    <w:rPr>
      <w:color w:val="808080"/>
    </w:rPr>
  </w:style>
  <w:style w:type="paragraph" w:styleId="Textodeglobo">
    <w:name w:val="Balloon Text"/>
    <w:basedOn w:val="Normal"/>
    <w:link w:val="TextodegloboCar"/>
    <w:uiPriority w:val="99"/>
    <w:semiHidden/>
    <w:unhideWhenUsed/>
    <w:rsid w:val="001E7139"/>
    <w:rPr>
      <w:rFonts w:ascii="Tahoma" w:hAnsi="Tahoma"/>
      <w:sz w:val="16"/>
      <w:szCs w:val="16"/>
      <w:lang w:val="x-none" w:eastAsia="x-none"/>
    </w:rPr>
  </w:style>
  <w:style w:type="character" w:customStyle="1" w:styleId="TextodegloboCar">
    <w:name w:val="Texto de globo Car"/>
    <w:link w:val="Textodeglobo"/>
    <w:uiPriority w:val="99"/>
    <w:semiHidden/>
    <w:rsid w:val="001E7139"/>
    <w:rPr>
      <w:rFonts w:ascii="Tahoma" w:hAnsi="Tahoma" w:cs="Tahoma"/>
      <w:sz w:val="16"/>
      <w:szCs w:val="16"/>
    </w:rPr>
  </w:style>
  <w:style w:type="table" w:styleId="Tablaconcuadrcula">
    <w:name w:val="Table Grid"/>
    <w:basedOn w:val="Tablanormal"/>
    <w:uiPriority w:val="59"/>
    <w:rsid w:val="00455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uiPriority w:val="99"/>
    <w:semiHidden/>
    <w:unhideWhenUsed/>
    <w:rsid w:val="00BB05E4"/>
    <w:rPr>
      <w:vertAlign w:val="superscript"/>
    </w:rPr>
  </w:style>
  <w:style w:type="character" w:customStyle="1" w:styleId="AONormalChar">
    <w:name w:val="AONormal Char"/>
    <w:link w:val="AONormal"/>
    <w:locked/>
    <w:rsid w:val="00053D60"/>
    <w:rPr>
      <w:sz w:val="22"/>
      <w:szCs w:val="22"/>
      <w:lang w:eastAsia="en-US" w:bidi="ar-SA"/>
    </w:rPr>
  </w:style>
  <w:style w:type="character" w:styleId="Hipervnculo">
    <w:name w:val="Hyperlink"/>
    <w:basedOn w:val="Fuentedeprrafopredeter"/>
    <w:uiPriority w:val="99"/>
    <w:unhideWhenUsed/>
    <w:rsid w:val="001E2F66"/>
    <w:rPr>
      <w:color w:val="0000FF"/>
      <w:u w:val="single"/>
    </w:rPr>
  </w:style>
  <w:style w:type="character" w:styleId="Refdecomentario">
    <w:name w:val="annotation reference"/>
    <w:basedOn w:val="Fuentedeprrafopredeter"/>
    <w:uiPriority w:val="99"/>
    <w:semiHidden/>
    <w:unhideWhenUsed/>
    <w:rsid w:val="003A6D44"/>
    <w:rPr>
      <w:sz w:val="16"/>
      <w:szCs w:val="16"/>
    </w:rPr>
  </w:style>
  <w:style w:type="paragraph" w:styleId="Asuntodelcomentario">
    <w:name w:val="annotation subject"/>
    <w:basedOn w:val="Textocomentario"/>
    <w:next w:val="Textocomentario"/>
    <w:link w:val="AsuntodelcomentarioCar"/>
    <w:uiPriority w:val="99"/>
    <w:semiHidden/>
    <w:unhideWhenUsed/>
    <w:rsid w:val="003A6D44"/>
    <w:rPr>
      <w:b/>
      <w:bCs/>
      <w:sz w:val="20"/>
      <w:lang w:eastAsia="en-US"/>
    </w:rPr>
  </w:style>
  <w:style w:type="character" w:customStyle="1" w:styleId="AsuntodelcomentarioCar">
    <w:name w:val="Asunto del comentario Car"/>
    <w:basedOn w:val="TextocomentarioCar"/>
    <w:link w:val="Asuntodelcomentario"/>
    <w:uiPriority w:val="99"/>
    <w:semiHidden/>
    <w:rsid w:val="003A6D44"/>
    <w:rPr>
      <w:rFonts w:cs="Times New Roman"/>
      <w:b/>
      <w:bCs/>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659758">
      <w:bodyDiv w:val="1"/>
      <w:marLeft w:val="0"/>
      <w:marRight w:val="0"/>
      <w:marTop w:val="0"/>
      <w:marBottom w:val="0"/>
      <w:divBdr>
        <w:top w:val="none" w:sz="0" w:space="0" w:color="auto"/>
        <w:left w:val="none" w:sz="0" w:space="0" w:color="auto"/>
        <w:bottom w:val="none" w:sz="0" w:space="0" w:color="auto"/>
        <w:right w:val="none" w:sz="0" w:space="0" w:color="auto"/>
      </w:divBdr>
    </w:div>
    <w:div w:id="390075546">
      <w:bodyDiv w:val="1"/>
      <w:marLeft w:val="0"/>
      <w:marRight w:val="0"/>
      <w:marTop w:val="0"/>
      <w:marBottom w:val="0"/>
      <w:divBdr>
        <w:top w:val="none" w:sz="0" w:space="0" w:color="auto"/>
        <w:left w:val="none" w:sz="0" w:space="0" w:color="auto"/>
        <w:bottom w:val="none" w:sz="0" w:space="0" w:color="auto"/>
        <w:right w:val="none" w:sz="0" w:space="0" w:color="auto"/>
      </w:divBdr>
    </w:div>
    <w:div w:id="457375819">
      <w:bodyDiv w:val="1"/>
      <w:marLeft w:val="0"/>
      <w:marRight w:val="0"/>
      <w:marTop w:val="0"/>
      <w:marBottom w:val="0"/>
      <w:divBdr>
        <w:top w:val="none" w:sz="0" w:space="0" w:color="auto"/>
        <w:left w:val="none" w:sz="0" w:space="0" w:color="auto"/>
        <w:bottom w:val="none" w:sz="0" w:space="0" w:color="auto"/>
        <w:right w:val="none" w:sz="0" w:space="0" w:color="auto"/>
      </w:divBdr>
    </w:div>
    <w:div w:id="466510955">
      <w:bodyDiv w:val="1"/>
      <w:marLeft w:val="0"/>
      <w:marRight w:val="0"/>
      <w:marTop w:val="0"/>
      <w:marBottom w:val="0"/>
      <w:divBdr>
        <w:top w:val="none" w:sz="0" w:space="0" w:color="auto"/>
        <w:left w:val="none" w:sz="0" w:space="0" w:color="auto"/>
        <w:bottom w:val="none" w:sz="0" w:space="0" w:color="auto"/>
        <w:right w:val="none" w:sz="0" w:space="0" w:color="auto"/>
      </w:divBdr>
    </w:div>
    <w:div w:id="475728636">
      <w:bodyDiv w:val="1"/>
      <w:marLeft w:val="0"/>
      <w:marRight w:val="0"/>
      <w:marTop w:val="0"/>
      <w:marBottom w:val="0"/>
      <w:divBdr>
        <w:top w:val="none" w:sz="0" w:space="0" w:color="auto"/>
        <w:left w:val="none" w:sz="0" w:space="0" w:color="auto"/>
        <w:bottom w:val="none" w:sz="0" w:space="0" w:color="auto"/>
        <w:right w:val="none" w:sz="0" w:space="0" w:color="auto"/>
      </w:divBdr>
    </w:div>
    <w:div w:id="787428091">
      <w:bodyDiv w:val="1"/>
      <w:marLeft w:val="0"/>
      <w:marRight w:val="0"/>
      <w:marTop w:val="0"/>
      <w:marBottom w:val="0"/>
      <w:divBdr>
        <w:top w:val="none" w:sz="0" w:space="0" w:color="auto"/>
        <w:left w:val="none" w:sz="0" w:space="0" w:color="auto"/>
        <w:bottom w:val="none" w:sz="0" w:space="0" w:color="auto"/>
        <w:right w:val="none" w:sz="0" w:space="0" w:color="auto"/>
      </w:divBdr>
    </w:div>
    <w:div w:id="874461758">
      <w:bodyDiv w:val="1"/>
      <w:marLeft w:val="0"/>
      <w:marRight w:val="0"/>
      <w:marTop w:val="0"/>
      <w:marBottom w:val="0"/>
      <w:divBdr>
        <w:top w:val="none" w:sz="0" w:space="0" w:color="auto"/>
        <w:left w:val="none" w:sz="0" w:space="0" w:color="auto"/>
        <w:bottom w:val="none" w:sz="0" w:space="0" w:color="auto"/>
        <w:right w:val="none" w:sz="0" w:space="0" w:color="auto"/>
      </w:divBdr>
    </w:div>
    <w:div w:id="890656242">
      <w:bodyDiv w:val="1"/>
      <w:marLeft w:val="0"/>
      <w:marRight w:val="0"/>
      <w:marTop w:val="0"/>
      <w:marBottom w:val="0"/>
      <w:divBdr>
        <w:top w:val="none" w:sz="0" w:space="0" w:color="auto"/>
        <w:left w:val="none" w:sz="0" w:space="0" w:color="auto"/>
        <w:bottom w:val="none" w:sz="0" w:space="0" w:color="auto"/>
        <w:right w:val="none" w:sz="0" w:space="0" w:color="auto"/>
      </w:divBdr>
    </w:div>
    <w:div w:id="956839194">
      <w:bodyDiv w:val="1"/>
      <w:marLeft w:val="0"/>
      <w:marRight w:val="0"/>
      <w:marTop w:val="0"/>
      <w:marBottom w:val="0"/>
      <w:divBdr>
        <w:top w:val="none" w:sz="0" w:space="0" w:color="auto"/>
        <w:left w:val="none" w:sz="0" w:space="0" w:color="auto"/>
        <w:bottom w:val="none" w:sz="0" w:space="0" w:color="auto"/>
        <w:right w:val="none" w:sz="0" w:space="0" w:color="auto"/>
      </w:divBdr>
    </w:div>
    <w:div w:id="972759468">
      <w:bodyDiv w:val="1"/>
      <w:marLeft w:val="0"/>
      <w:marRight w:val="0"/>
      <w:marTop w:val="0"/>
      <w:marBottom w:val="0"/>
      <w:divBdr>
        <w:top w:val="none" w:sz="0" w:space="0" w:color="auto"/>
        <w:left w:val="none" w:sz="0" w:space="0" w:color="auto"/>
        <w:bottom w:val="none" w:sz="0" w:space="0" w:color="auto"/>
        <w:right w:val="none" w:sz="0" w:space="0" w:color="auto"/>
      </w:divBdr>
    </w:div>
    <w:div w:id="1433235569">
      <w:bodyDiv w:val="1"/>
      <w:marLeft w:val="0"/>
      <w:marRight w:val="0"/>
      <w:marTop w:val="0"/>
      <w:marBottom w:val="0"/>
      <w:divBdr>
        <w:top w:val="none" w:sz="0" w:space="0" w:color="auto"/>
        <w:left w:val="none" w:sz="0" w:space="0" w:color="auto"/>
        <w:bottom w:val="none" w:sz="0" w:space="0" w:color="auto"/>
        <w:right w:val="none" w:sz="0" w:space="0" w:color="auto"/>
      </w:divBdr>
    </w:div>
    <w:div w:id="1483886364">
      <w:bodyDiv w:val="1"/>
      <w:marLeft w:val="0"/>
      <w:marRight w:val="0"/>
      <w:marTop w:val="0"/>
      <w:marBottom w:val="0"/>
      <w:divBdr>
        <w:top w:val="none" w:sz="0" w:space="0" w:color="auto"/>
        <w:left w:val="none" w:sz="0" w:space="0" w:color="auto"/>
        <w:bottom w:val="none" w:sz="0" w:space="0" w:color="auto"/>
        <w:right w:val="none" w:sz="0" w:space="0" w:color="auto"/>
      </w:divBdr>
    </w:div>
    <w:div w:id="1688405276">
      <w:bodyDiv w:val="1"/>
      <w:marLeft w:val="0"/>
      <w:marRight w:val="0"/>
      <w:marTop w:val="0"/>
      <w:marBottom w:val="0"/>
      <w:divBdr>
        <w:top w:val="none" w:sz="0" w:space="0" w:color="auto"/>
        <w:left w:val="none" w:sz="0" w:space="0" w:color="auto"/>
        <w:bottom w:val="none" w:sz="0" w:space="0" w:color="auto"/>
        <w:right w:val="none" w:sz="0" w:space="0" w:color="auto"/>
      </w:divBdr>
    </w:div>
    <w:div w:id="1694107189">
      <w:bodyDiv w:val="1"/>
      <w:marLeft w:val="0"/>
      <w:marRight w:val="0"/>
      <w:marTop w:val="0"/>
      <w:marBottom w:val="0"/>
      <w:divBdr>
        <w:top w:val="none" w:sz="0" w:space="0" w:color="auto"/>
        <w:left w:val="none" w:sz="0" w:space="0" w:color="auto"/>
        <w:bottom w:val="none" w:sz="0" w:space="0" w:color="auto"/>
        <w:right w:val="none" w:sz="0" w:space="0" w:color="auto"/>
      </w:divBdr>
    </w:div>
    <w:div w:id="1783301350">
      <w:bodyDiv w:val="1"/>
      <w:marLeft w:val="0"/>
      <w:marRight w:val="0"/>
      <w:marTop w:val="0"/>
      <w:marBottom w:val="0"/>
      <w:divBdr>
        <w:top w:val="none" w:sz="0" w:space="0" w:color="auto"/>
        <w:left w:val="none" w:sz="0" w:space="0" w:color="auto"/>
        <w:bottom w:val="none" w:sz="0" w:space="0" w:color="auto"/>
        <w:right w:val="none" w:sz="0" w:space="0" w:color="auto"/>
      </w:divBdr>
    </w:div>
    <w:div w:id="1852720518">
      <w:bodyDiv w:val="1"/>
      <w:marLeft w:val="0"/>
      <w:marRight w:val="0"/>
      <w:marTop w:val="0"/>
      <w:marBottom w:val="0"/>
      <w:divBdr>
        <w:top w:val="none" w:sz="0" w:space="0" w:color="auto"/>
        <w:left w:val="none" w:sz="0" w:space="0" w:color="auto"/>
        <w:bottom w:val="none" w:sz="0" w:space="0" w:color="auto"/>
        <w:right w:val="none" w:sz="0" w:space="0" w:color="auto"/>
      </w:divBdr>
    </w:div>
    <w:div w:id="1990745699">
      <w:bodyDiv w:val="1"/>
      <w:marLeft w:val="0"/>
      <w:marRight w:val="0"/>
      <w:marTop w:val="0"/>
      <w:marBottom w:val="0"/>
      <w:divBdr>
        <w:top w:val="none" w:sz="0" w:space="0" w:color="auto"/>
        <w:left w:val="none" w:sz="0" w:space="0" w:color="auto"/>
        <w:bottom w:val="none" w:sz="0" w:space="0" w:color="auto"/>
        <w:right w:val="none" w:sz="0" w:space="0" w:color="auto"/>
      </w:divBdr>
    </w:div>
    <w:div w:id="2009166611">
      <w:bodyDiv w:val="1"/>
      <w:marLeft w:val="0"/>
      <w:marRight w:val="0"/>
      <w:marTop w:val="0"/>
      <w:marBottom w:val="0"/>
      <w:divBdr>
        <w:top w:val="none" w:sz="0" w:space="0" w:color="auto"/>
        <w:left w:val="none" w:sz="0" w:space="0" w:color="auto"/>
        <w:bottom w:val="none" w:sz="0" w:space="0" w:color="auto"/>
        <w:right w:val="none" w:sz="0" w:space="0" w:color="auto"/>
      </w:divBdr>
    </w:div>
    <w:div w:id="2047371057">
      <w:bodyDiv w:val="1"/>
      <w:marLeft w:val="0"/>
      <w:marRight w:val="0"/>
      <w:marTop w:val="0"/>
      <w:marBottom w:val="0"/>
      <w:divBdr>
        <w:top w:val="none" w:sz="0" w:space="0" w:color="auto"/>
        <w:left w:val="none" w:sz="0" w:space="0" w:color="auto"/>
        <w:bottom w:val="none" w:sz="0" w:space="0" w:color="auto"/>
        <w:right w:val="none" w:sz="0" w:space="0" w:color="auto"/>
      </w:divBdr>
    </w:div>
    <w:div w:id="2058234298">
      <w:bodyDiv w:val="1"/>
      <w:marLeft w:val="0"/>
      <w:marRight w:val="0"/>
      <w:marTop w:val="0"/>
      <w:marBottom w:val="0"/>
      <w:divBdr>
        <w:top w:val="none" w:sz="0" w:space="0" w:color="auto"/>
        <w:left w:val="none" w:sz="0" w:space="0" w:color="auto"/>
        <w:bottom w:val="none" w:sz="0" w:space="0" w:color="auto"/>
        <w:right w:val="none" w:sz="0" w:space="0" w:color="auto"/>
      </w:divBdr>
    </w:div>
    <w:div w:id="2109038799">
      <w:bodyDiv w:val="1"/>
      <w:marLeft w:val="0"/>
      <w:marRight w:val="0"/>
      <w:marTop w:val="0"/>
      <w:marBottom w:val="0"/>
      <w:divBdr>
        <w:top w:val="none" w:sz="0" w:space="0" w:color="auto"/>
        <w:left w:val="none" w:sz="0" w:space="0" w:color="auto"/>
        <w:bottom w:val="none" w:sz="0" w:space="0" w:color="auto"/>
        <w:right w:val="none" w:sz="0" w:space="0" w:color="auto"/>
      </w:divBdr>
    </w:div>
    <w:div w:id="213269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3-09-03T11-00-00\Templates\AODocu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D27E08A640478DF1E4B58A3A25DF" ma:contentTypeVersion="0" ma:contentTypeDescription="Create a new document." ma:contentTypeScope="" ma:versionID="ad1eb3e0bcc9518842c55a6f68c475a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6FFB7-F970-4BC6-BB8E-E43387809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5914462-28B1-4270-AA68-56CFB1BBEF06}">
  <ds:schemaRefs>
    <ds:schemaRef ds:uri="http://schemas.microsoft.com/sharepoint/v3/contenttype/forms"/>
  </ds:schemaRefs>
</ds:datastoreItem>
</file>

<file path=customXml/itemProps3.xml><?xml version="1.0" encoding="utf-8"?>
<ds:datastoreItem xmlns:ds="http://schemas.openxmlformats.org/officeDocument/2006/customXml" ds:itemID="{50894756-89D6-492E-9A73-A9B786AF6B61}">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BEB5A32C-56AE-4277-B111-9DB0A415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0</TotalTime>
  <Pages>11</Pages>
  <Words>4401</Words>
  <Characters>24209</Characters>
  <Application>Microsoft Office Word</Application>
  <DocSecurity>0</DocSecurity>
  <Lines>201</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_</vt:lpstr>
      <vt:lpstr>_</vt:lpstr>
    </vt:vector>
  </TitlesOfParts>
  <Company>Bank of America</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Turner, Dawn (London)</dc:creator>
  <cp:lastModifiedBy>Angela Mercedes Pinzon Cortes</cp:lastModifiedBy>
  <cp:revision>2</cp:revision>
  <cp:lastPrinted>2017-01-31T17:14:00Z</cp:lastPrinted>
  <dcterms:created xsi:type="dcterms:W3CDTF">2021-05-06T18:20:00Z</dcterms:created>
  <dcterms:modified xsi:type="dcterms:W3CDTF">2021-05-06T18:20:00Z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ame">
    <vt:lpwstr>Document</vt:lpwstr>
  </property>
  <property fmtid="{D5CDD505-2E9C-101B-9397-08002B2CF9AE}" pid="3" name="DMProfile">
    <vt:lpwstr>Document</vt:lpwstr>
  </property>
  <property fmtid="{D5CDD505-2E9C-101B-9397-08002B2CF9AE}" pid="4" name="FilePedigree">
    <vt:lpwstr>OSAX</vt:lpwstr>
  </property>
  <property fmtid="{D5CDD505-2E9C-101B-9397-08002B2CF9AE}" pid="5" name="TemplateFileName">
    <vt:lpwstr>AODocument.dotm</vt:lpwstr>
  </property>
  <property fmtid="{D5CDD505-2E9C-101B-9397-08002B2CF9AE}" pid="6" name="OSADocumentType">
    <vt:lpwstr>1</vt:lpwstr>
  </property>
  <property fmtid="{D5CDD505-2E9C-101B-9397-08002B2CF9AE}" pid="7" name="AuthorDescription">
    <vt:lpwstr>Simon Hooks</vt:lpwstr>
  </property>
  <property fmtid="{D5CDD505-2E9C-101B-9397-08002B2CF9AE}" pid="8" name="AuthorName">
    <vt:lpwstr>Simon Hooks</vt:lpwstr>
  </property>
  <property fmtid="{D5CDD505-2E9C-101B-9397-08002B2CF9AE}" pid="9" name="AuthorInitials">
    <vt:lpwstr>SSKH</vt:lpwstr>
  </property>
  <property fmtid="{D5CDD505-2E9C-101B-9397-08002B2CF9AE}" pid="10" name="AuthorJobTitle">
    <vt:lpwstr>Associate</vt:lpwstr>
  </property>
  <property fmtid="{D5CDD505-2E9C-101B-9397-08002B2CF9AE}" pid="11" name="AuthorEmail">
    <vt:lpwstr>simon.hooks@allenovery.com</vt:lpwstr>
  </property>
  <property fmtid="{D5CDD505-2E9C-101B-9397-08002B2CF9AE}" pid="12" name="AuthorDirectLine">
    <vt:lpwstr>02030884644</vt:lpwstr>
  </property>
  <property fmtid="{D5CDD505-2E9C-101B-9397-08002B2CF9AE}" pid="13" name="AuthorMobilePhone">
    <vt:lpwstr/>
  </property>
  <property fmtid="{D5CDD505-2E9C-101B-9397-08002B2CF9AE}" pid="14" name="AuthorPersonalFax">
    <vt:lpwstr/>
  </property>
  <property fmtid="{D5CDD505-2E9C-101B-9397-08002B2CF9AE}" pid="15" name="OurRef">
    <vt:lpwstr>SSKH</vt:lpwstr>
  </property>
  <property fmtid="{D5CDD505-2E9C-101B-9397-08002B2CF9AE}" pid="16" name="LanguageID">
    <vt:lpwstr>English (UK)</vt:lpwstr>
  </property>
  <property fmtid="{D5CDD505-2E9C-101B-9397-08002B2CF9AE}" pid="17" name="OfficeID">
    <vt:lpwstr>London</vt:lpwstr>
  </property>
  <property fmtid="{D5CDD505-2E9C-101B-9397-08002B2CF9AE}" pid="18" name="TemplateName">
    <vt:lpwstr>AODocument.dotm</vt:lpwstr>
  </property>
  <property fmtid="{D5CDD505-2E9C-101B-9397-08002B2CF9AE}" pid="19" name="cpFooterText">
    <vt:lpwstr> </vt:lpwstr>
  </property>
  <property fmtid="{D5CDD505-2E9C-101B-9397-08002B2CF9AE}" pid="20" name="cpHeaderText">
    <vt:lpwstr> </vt:lpwstr>
  </property>
  <property fmtid="{D5CDD505-2E9C-101B-9397-08002B2CF9AE}" pid="21" name="Client">
    <vt:lpwstr>0012186</vt:lpwstr>
  </property>
  <property fmtid="{D5CDD505-2E9C-101B-9397-08002B2CF9AE}" pid="22" name="Matter">
    <vt:lpwstr>0005959</vt:lpwstr>
  </property>
  <property fmtid="{D5CDD505-2E9C-101B-9397-08002B2CF9AE}" pid="23" name="cpClientMatter">
    <vt:lpwstr>0012186-0005959</vt:lpwstr>
  </property>
  <property fmtid="{D5CDD505-2E9C-101B-9397-08002B2CF9AE}" pid="24" name="cpDocRef">
    <vt:lpwstr>ICM:17900725.3</vt:lpwstr>
  </property>
  <property fmtid="{D5CDD505-2E9C-101B-9397-08002B2CF9AE}" pid="25" name="cpCombinedRef">
    <vt:lpwstr>0012186-0005959 ICM:17900725.3</vt:lpwstr>
  </property>
  <property fmtid="{D5CDD505-2E9C-101B-9397-08002B2CF9AE}" pid="26" name="_NewReviewCycle">
    <vt:lpwstr/>
  </property>
  <property fmtid="{D5CDD505-2E9C-101B-9397-08002B2CF9AE}" pid="27" name="IsCheckedOut">
    <vt:lpwstr>No</vt:lpwstr>
  </property>
  <property fmtid="{D5CDD505-2E9C-101B-9397-08002B2CF9AE}" pid="28" name="IsDeleted">
    <vt:lpwstr>No</vt:lpwstr>
  </property>
  <property fmtid="{D5CDD505-2E9C-101B-9397-08002B2CF9AE}" pid="29" name="IsArchived">
    <vt:lpwstr>No</vt:lpwstr>
  </property>
  <property fmtid="{D5CDD505-2E9C-101B-9397-08002B2CF9AE}" pid="30" name="DocumentType">
    <vt:lpwstr>6</vt:lpwstr>
  </property>
  <property fmtid="{D5CDD505-2E9C-101B-9397-08002B2CF9AE}" pid="31" name="MarkAsDeleted">
    <vt:lpwstr>No</vt:lpwstr>
  </property>
</Properties>
</file>